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7E4EE" w14:textId="708ADF31" w:rsidR="009E559A" w:rsidRPr="00476792" w:rsidRDefault="0097063C" w:rsidP="009E559A">
      <w:pPr>
        <w:pStyle w:val="Nagwek2"/>
        <w:keepNext w:val="0"/>
        <w:widowControl w:val="0"/>
        <w:numPr>
          <w:ilvl w:val="1"/>
          <w:numId w:val="5"/>
        </w:numPr>
        <w:tabs>
          <w:tab w:val="num" w:pos="360"/>
        </w:tabs>
        <w:suppressAutoHyphens/>
        <w:spacing w:before="240" w:after="240"/>
        <w:ind w:left="1134" w:hanging="567"/>
        <w:jc w:val="both"/>
        <w:rPr>
          <w:rFonts w:ascii="Arial" w:hAnsi="Arial" w:cs="Arial"/>
          <w:b/>
          <w:bCs/>
          <w:noProof/>
          <w:color w:val="auto"/>
          <w:sz w:val="22"/>
          <w:szCs w:val="22"/>
        </w:rPr>
      </w:pPr>
      <w:bookmarkStart w:id="0" w:name="_Toc257707962"/>
      <w:bookmarkStart w:id="1" w:name="_Toc61009917"/>
      <w:bookmarkStart w:id="2" w:name="_Toc189662115"/>
      <w:r>
        <w:rPr>
          <w:rFonts w:ascii="Arial" w:hAnsi="Arial"/>
          <w:b/>
          <w:color w:val="auto"/>
          <w:sz w:val="22"/>
        </w:rPr>
        <w:t>Matryca wymagań dla</w:t>
      </w:r>
      <w:bookmarkEnd w:id="0"/>
      <w:r>
        <w:rPr>
          <w:rFonts w:ascii="Arial" w:hAnsi="Arial"/>
          <w:b/>
          <w:color w:val="auto"/>
          <w:sz w:val="22"/>
        </w:rPr>
        <w:t xml:space="preserve"> </w:t>
      </w:r>
      <w:bookmarkEnd w:id="1"/>
      <w:bookmarkEnd w:id="2"/>
      <w:r>
        <w:rPr>
          <w:rFonts w:ascii="Arial" w:hAnsi="Arial"/>
          <w:b/>
          <w:color w:val="auto"/>
          <w:sz w:val="22"/>
        </w:rPr>
        <w:t>maszyny do napełniania/wykańczania zainstalowanej w systemie barier ograniczających dostęp</w:t>
      </w:r>
    </w:p>
    <w:tbl>
      <w:tblPr>
        <w:tblW w:w="9634" w:type="dxa"/>
        <w:jc w:val="center"/>
        <w:tblLayout w:type="fixed"/>
        <w:tblLook w:val="0000" w:firstRow="0" w:lastRow="0" w:firstColumn="0" w:lastColumn="0" w:noHBand="0" w:noVBand="0"/>
      </w:tblPr>
      <w:tblGrid>
        <w:gridCol w:w="1867"/>
        <w:gridCol w:w="5074"/>
        <w:gridCol w:w="1134"/>
        <w:gridCol w:w="1559"/>
      </w:tblGrid>
      <w:tr w:rsidR="00D71F90" w:rsidRPr="002342DB" w14:paraId="12388E46" w14:textId="77777777" w:rsidTr="00D71F90">
        <w:trPr>
          <w:trHeight w:val="284"/>
          <w:tblHeader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D0DF0B" w14:textId="77777777" w:rsidR="00D71F90" w:rsidRPr="002342DB" w:rsidRDefault="00D71F90" w:rsidP="003C5B18">
            <w:pPr>
              <w:snapToGrid w:val="0"/>
              <w:rPr>
                <w:rFonts w:ascii="Arial" w:hAnsi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Nr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097127" w14:textId="77777777" w:rsidR="00D71F90" w:rsidRPr="002342DB" w:rsidRDefault="00D71F90" w:rsidP="003C5B18">
            <w:pPr>
              <w:snapToGrid w:val="0"/>
              <w:rPr>
                <w:rFonts w:ascii="Arial" w:hAnsi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Opis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46BBEE" w14:textId="77777777" w:rsidR="00D71F90" w:rsidRPr="002342DB" w:rsidRDefault="00D71F90" w:rsidP="003C5B18">
            <w:pPr>
              <w:snapToGrid w:val="0"/>
              <w:jc w:val="center"/>
              <w:rPr>
                <w:rFonts w:ascii="Arial" w:hAnsi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Priorytet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9C0A01" w14:textId="77777777" w:rsidR="00D71F90" w:rsidRPr="002342DB" w:rsidRDefault="00D71F90" w:rsidP="003C5B18">
            <w:pPr>
              <w:snapToGrid w:val="0"/>
              <w:jc w:val="center"/>
              <w:rPr>
                <w:rFonts w:ascii="Arial" w:hAnsi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Ocena Tak/ Nie/ Nie dotyczy</w:t>
            </w:r>
          </w:p>
        </w:tc>
      </w:tr>
      <w:tr w:rsidR="009456FB" w:rsidRPr="002342DB" w14:paraId="67AE44C9" w14:textId="77777777" w:rsidTr="00D71F90">
        <w:trPr>
          <w:trHeight w:val="284"/>
          <w:jc w:val="center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B6D8F7" w14:textId="77777777" w:rsidR="009456FB" w:rsidRPr="007F3DB1" w:rsidRDefault="009456FB" w:rsidP="003C5B18">
            <w:pPr>
              <w:snapToGrid w:val="0"/>
              <w:jc w:val="center"/>
              <w:rPr>
                <w:rFonts w:ascii="Arial" w:hAnsi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3.1.1. Sprzęt</w:t>
            </w:r>
          </w:p>
        </w:tc>
      </w:tr>
      <w:tr w:rsidR="00D71F90" w:rsidRPr="00BD0E10" w14:paraId="0C11E0E9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91B0AF" w14:textId="77777777" w:rsidR="00D71F90" w:rsidRPr="00BD0E10" w:rsidRDefault="00D71F90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URS-3.1.1.01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33DF00" w14:textId="064F37A1" w:rsidR="00D71F90" w:rsidRPr="00BD0E10" w:rsidRDefault="00D71F90" w:rsidP="003C5B18">
            <w:pPr>
              <w:pStyle w:val="Default"/>
              <w:rPr>
                <w:noProof/>
                <w:color w:val="FF0000"/>
                <w:sz w:val="22"/>
                <w:szCs w:val="22"/>
              </w:rPr>
            </w:pPr>
            <w:r>
              <w:rPr>
                <w:color w:val="auto"/>
                <w:sz w:val="22"/>
              </w:rPr>
              <w:t xml:space="preserve">System sterowania oparty na sterowniku PLC z interfejsem dotykowym HMI, </w:t>
            </w:r>
            <w:r>
              <w:rPr>
                <w:color w:val="000000" w:themeColor="text1"/>
                <w:sz w:val="22"/>
              </w:rPr>
              <w:t>na którym wyświetlane są wszystkie monitorowane parametry.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ECA09" w14:textId="77777777" w:rsidR="00D71F90" w:rsidRPr="00D60C11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9DA20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F6931" w:rsidRPr="00BD0E10" w14:paraId="05E73F68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EC388" w14:textId="68841AC0" w:rsidR="00BF6931" w:rsidRPr="00BD0E10" w:rsidRDefault="00BF6931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URS-3.1.1.02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C006A1" w14:textId="3BBCD515" w:rsidR="00BF6931" w:rsidRPr="00BD0E10" w:rsidRDefault="00BF6931" w:rsidP="00BF6931">
            <w:pPr>
              <w:autoSpaceDE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System </w:t>
            </w:r>
            <w:r>
              <w:rPr>
                <w:rFonts w:ascii="Arial" w:hAnsi="Arial"/>
                <w:color w:val="000000" w:themeColor="text1"/>
                <w:sz w:val="22"/>
              </w:rPr>
              <w:t>zatrzymania powinien być zapewniony w przypadku awarii systemu lub zagrożenia bezpieczeństwa.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B409C" w14:textId="22551D55" w:rsidR="00BF6931" w:rsidRPr="00D60C11" w:rsidRDefault="00EC204A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A4648" w14:textId="77777777" w:rsidR="00BF6931" w:rsidRPr="00BD0E10" w:rsidRDefault="00BF6931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F6931" w:rsidRPr="00BD0E10" w14:paraId="42078E28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FAE36" w14:textId="09985031" w:rsidR="00BF6931" w:rsidRPr="00BD0E10" w:rsidRDefault="00BF6931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URS-3.1.1.03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2967" w14:textId="009A5015" w:rsidR="00BF6931" w:rsidRPr="00BD0E10" w:rsidRDefault="00BF6931" w:rsidP="00BF6931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System powinien być podłączony do sieci Bioceltix i zsynchronizowany czasowo.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041D1" w14:textId="36530173" w:rsidR="00BF6931" w:rsidRPr="00D60C11" w:rsidRDefault="00EC204A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9A9E5" w14:textId="77777777" w:rsidR="00BF6931" w:rsidRPr="00BD0E10" w:rsidRDefault="00BF6931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F6931" w:rsidRPr="00BD0E10" w14:paraId="67385091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95A3BF" w14:textId="036FD3F9" w:rsidR="00BF6931" w:rsidRPr="00BD0E10" w:rsidRDefault="00BF6931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URS-3.1.1.04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B7D52A" w14:textId="675D09B0" w:rsidR="00BF6931" w:rsidRPr="00BD0E10" w:rsidRDefault="00751E0B" w:rsidP="00BF6931">
            <w:pPr>
              <w:autoSpaceDE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Stanowisko operatora (HMI) powinno zapewniać sterowanie, wizualizację i nadzór parametrów procesu (ekrany synoptyczne) z funkcją rzeczywistych parametrów, z funkcjami alarmowymi (na ekranie) i potwierdzaniem alarmów.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992FD" w14:textId="296B5BC4" w:rsidR="00BF6931" w:rsidRPr="00D60C11" w:rsidRDefault="00EC204A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8A897" w14:textId="77777777" w:rsidR="00BF6931" w:rsidRPr="00BD0E10" w:rsidRDefault="00BF6931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F6931" w:rsidRPr="00BD0E10" w14:paraId="0F384B7E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A7D84B" w14:textId="23267945" w:rsidR="00BF6931" w:rsidRPr="00BD0E10" w:rsidRDefault="00751E0B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URS-3.1.1.05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216173" w14:textId="3648A519" w:rsidR="00BF6931" w:rsidRPr="00BD0E10" w:rsidRDefault="00751E0B" w:rsidP="00BF6931">
            <w:pPr>
              <w:autoSpaceDE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Wprowadzanie parametrów przez użytkownika powinno być proste i przejrzyste. Musi być możliwe swobodne regulowanie ograniczenia wprowadzanych parametrów (min. / maks.). Znaczenie parametru musi być oczywiste i nie może wprowadzać w błąd. Musi istnieć możliwość potwierdzenia krytycznych danych wejściowych (nazwa użytkownika i hasło).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47F6C" w14:textId="16AC3084" w:rsidR="00BF6931" w:rsidRPr="00D60C11" w:rsidRDefault="00EC204A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93BCF" w14:textId="77777777" w:rsidR="00BF6931" w:rsidRPr="00BD0E10" w:rsidRDefault="00BF6931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751E0B" w:rsidRPr="00BD0E10" w14:paraId="2E64BC89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0DB85A" w14:textId="5161AD62" w:rsidR="00751E0B" w:rsidRPr="00BD0E10" w:rsidRDefault="00751E0B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URS-3.1.1.06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66405F" w14:textId="7943CD71" w:rsidR="00751E0B" w:rsidRPr="00BD0E10" w:rsidRDefault="00751E0B" w:rsidP="00BF6931">
            <w:pPr>
              <w:autoSpaceDE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Stanowisko operatora (HMI) powinno być w języku polskim i angielskim.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030A9" w14:textId="66CE0846" w:rsidR="00751E0B" w:rsidRPr="00D60C11" w:rsidRDefault="00EC204A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7AD6B" w14:textId="77777777" w:rsidR="00751E0B" w:rsidRPr="00BD0E10" w:rsidRDefault="00751E0B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D71F90" w:rsidRPr="00BD0E10" w14:paraId="31AB5654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DF19C" w14:textId="2BA4B7F6" w:rsidR="00D71F90" w:rsidRPr="00BD0E10" w:rsidRDefault="00D71F90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URS-3.1.1.07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5AB288" w14:textId="7AE5AE75" w:rsidR="00D71F90" w:rsidRPr="00BD0E10" w:rsidRDefault="00D71F90" w:rsidP="003C5B18">
            <w:pPr>
              <w:pStyle w:val="Default"/>
              <w:rPr>
                <w:noProof/>
                <w:color w:val="FF0000"/>
                <w:sz w:val="22"/>
                <w:szCs w:val="22"/>
              </w:rPr>
            </w:pPr>
            <w:r>
              <w:rPr>
                <w:sz w:val="22"/>
              </w:rPr>
              <w:t>Interfejs do sterowania parametrami objętości i napełniania.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FE279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2C062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D71F90" w:rsidRPr="00BD0E10" w14:paraId="2AA52C95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4019C" w14:textId="44417DFF" w:rsidR="00D71F90" w:rsidRPr="00BD0E10" w:rsidRDefault="00D71F90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URS-3.1.1.08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7E5EA5" w14:textId="5862BABC" w:rsidR="00D71F90" w:rsidRPr="00BD0E10" w:rsidRDefault="00D71F90" w:rsidP="003C5B18">
            <w:pPr>
              <w:pStyle w:val="Default"/>
              <w:rPr>
                <w:noProof/>
                <w:color w:val="FF0000"/>
                <w:sz w:val="22"/>
                <w:szCs w:val="22"/>
              </w:rPr>
            </w:pPr>
            <w:r>
              <w:rPr>
                <w:sz w:val="22"/>
              </w:rPr>
              <w:t>Wyświetlanie danych parametrów procesu w postaci liczbowej i/lub graficznej.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1906C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BBF42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D71F90" w:rsidRPr="00BD0E10" w14:paraId="03324ECD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AC0F4C" w14:textId="45B743DF" w:rsidR="00D71F90" w:rsidRPr="00BD0E10" w:rsidRDefault="00D71F90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URS-3.1.1.09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D38ECE" w14:textId="79631C61" w:rsidR="00D71F90" w:rsidRPr="00BD0E10" w:rsidRDefault="00D71F90" w:rsidP="003C5B18">
            <w:pPr>
              <w:pStyle w:val="Default"/>
              <w:rPr>
                <w:noProof/>
                <w:color w:val="FF0000"/>
                <w:sz w:val="22"/>
                <w:szCs w:val="22"/>
              </w:rPr>
            </w:pPr>
            <w:r>
              <w:rPr>
                <w:sz w:val="22"/>
              </w:rPr>
              <w:t>Interfejs komunikacyjny: Port Ethernet do komunikacji z komputerem.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A5785" w14:textId="1ECDC830" w:rsidR="00D71F90" w:rsidRPr="00BD0E10" w:rsidRDefault="009276B1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Cs/>
                <w:noProof/>
                <w:sz w:val="22"/>
              </w:rPr>
              <w:t>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CBAAC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D71F90" w:rsidRPr="00BD0E10" w14:paraId="350DCB4C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5BAAE" w14:textId="23E04CC4" w:rsidR="00D71F90" w:rsidRPr="00BD0E10" w:rsidRDefault="00D71F90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URS-3.1.1.10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D7857F" w14:textId="5EA29E47" w:rsidR="00D71F90" w:rsidRPr="00BD0E10" w:rsidRDefault="00D71F90" w:rsidP="003C5B18">
            <w:pPr>
              <w:pStyle w:val="Default"/>
              <w:rPr>
                <w:noProof/>
                <w:color w:val="FF0000"/>
                <w:sz w:val="22"/>
                <w:szCs w:val="22"/>
              </w:rPr>
            </w:pPr>
            <w:r>
              <w:rPr>
                <w:sz w:val="22"/>
              </w:rPr>
              <w:t>Komputer do gromadzenia danych procesowych.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93346" w14:textId="5785AAA9" w:rsidR="00D71F90" w:rsidRPr="00BD0E10" w:rsidRDefault="009276B1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FCCBA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D71F90" w:rsidRPr="00BD0E10" w14:paraId="41C67B0E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3CE046" w14:textId="6EEDC634" w:rsidR="00D71F90" w:rsidRPr="00BD0E10" w:rsidRDefault="00D71F90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URS-3.1.1.11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74CA13" w14:textId="1F9EFDC9" w:rsidR="00D71F90" w:rsidRPr="00BD0E10" w:rsidRDefault="00D71F90" w:rsidP="003C5B18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Możliwość zdalnego monitorowania.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9236D" w14:textId="5E812931" w:rsidR="00D71F90" w:rsidRPr="00BD0E10" w:rsidRDefault="009276B1" w:rsidP="00EF4574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12EA1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D71F90" w:rsidRPr="00BD0E10" w14:paraId="431F32DA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6B9423" w14:textId="6FB0169D" w:rsidR="00D71F90" w:rsidRPr="00BD0E10" w:rsidRDefault="00D71F90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URS-3.1.1.12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1EEA91" w14:textId="317AC264" w:rsidR="00D71F90" w:rsidRPr="00BD0E10" w:rsidRDefault="00D71F90" w:rsidP="003C5B18">
            <w:pPr>
              <w:pStyle w:val="Default"/>
              <w:rPr>
                <w:noProof/>
                <w:color w:val="FF0000"/>
                <w:sz w:val="22"/>
                <w:szCs w:val="22"/>
              </w:rPr>
            </w:pPr>
            <w:r>
              <w:rPr>
                <w:color w:val="auto"/>
                <w:sz w:val="22"/>
              </w:rPr>
              <w:t>Integracja SCADA do rejestrowania danych, dokumentacji partii i raportowania.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98D39" w14:textId="4661DDCA" w:rsidR="00D71F90" w:rsidRPr="00BD0E10" w:rsidRDefault="0082487D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BE439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EF4574" w:rsidRPr="00BD0E10" w14:paraId="1DD4F491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F8B820" w14:textId="02B11CC6" w:rsidR="00EF4574" w:rsidRPr="00BD0E10" w:rsidRDefault="00863466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URS-3.1.1.13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C5334" w14:textId="07FC7373" w:rsidR="00EF4574" w:rsidRPr="00BD0E10" w:rsidRDefault="00EF4574" w:rsidP="003C5B18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>
              <w:rPr>
                <w:sz w:val="22"/>
              </w:rPr>
              <w:t xml:space="preserve">System monitorowania cząstek zostanie zintegrowany z EMS.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0D8D7" w14:textId="437FD53C" w:rsidR="00EF4574" w:rsidRDefault="00EF4574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B9FF9" w14:textId="77777777" w:rsidR="00EF4574" w:rsidRPr="00BD0E10" w:rsidRDefault="00EF4574" w:rsidP="003C5B18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9456FB" w:rsidRPr="00BD0E10" w14:paraId="45A3DF1B" w14:textId="77777777" w:rsidTr="00D71F90">
        <w:trPr>
          <w:trHeight w:val="284"/>
          <w:jc w:val="center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EEAE5D" w14:textId="77777777" w:rsidR="009456FB" w:rsidRPr="00BD0E10" w:rsidRDefault="009456FB" w:rsidP="003C5B18">
            <w:pPr>
              <w:snapToGrid w:val="0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3.1.2. Oprogramowanie</w:t>
            </w:r>
          </w:p>
        </w:tc>
      </w:tr>
      <w:tr w:rsidR="00D71F90" w:rsidRPr="00BD0E10" w14:paraId="1A728FB9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954712" w14:textId="2980B834" w:rsidR="00D71F90" w:rsidRPr="00BD0E10" w:rsidRDefault="00D71F90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URS-3.1.2.01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D45CA0" w14:textId="4BAD9487" w:rsidR="00D71F90" w:rsidRPr="00BD0E10" w:rsidRDefault="00D71F90" w:rsidP="003C5B18">
            <w:pPr>
              <w:pStyle w:val="Default"/>
              <w:rPr>
                <w:noProof/>
                <w:color w:val="FF0000"/>
                <w:sz w:val="22"/>
                <w:szCs w:val="22"/>
              </w:rPr>
            </w:pPr>
            <w:r>
              <w:rPr>
                <w:sz w:val="22"/>
              </w:rPr>
              <w:t>Oprogramowanie do rejestracji parametrów procesu.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22CDC" w14:textId="77777777" w:rsidR="00D71F90" w:rsidRPr="00BD0E10" w:rsidRDefault="00D71F90" w:rsidP="003C5B18">
            <w:pPr>
              <w:pStyle w:val="Default"/>
              <w:jc w:val="center"/>
              <w:rPr>
                <w:noProof/>
                <w:sz w:val="22"/>
                <w:szCs w:val="22"/>
              </w:rPr>
            </w:pPr>
            <w:r>
              <w:rPr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A6B0" w14:textId="77777777" w:rsidR="00D71F90" w:rsidRPr="00BD0E10" w:rsidRDefault="00D71F90" w:rsidP="003C5B18">
            <w:pPr>
              <w:pStyle w:val="Default"/>
              <w:jc w:val="center"/>
              <w:rPr>
                <w:noProof/>
                <w:sz w:val="22"/>
                <w:szCs w:val="22"/>
                <w:lang w:val="en-US"/>
              </w:rPr>
            </w:pPr>
          </w:p>
        </w:tc>
      </w:tr>
      <w:tr w:rsidR="00D71F90" w:rsidRPr="00BD0E10" w14:paraId="660C1701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006142" w14:textId="64E68643" w:rsidR="00D71F90" w:rsidRPr="00BD0E10" w:rsidRDefault="00D71F90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URS-3.1.2.02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9FEB89" w14:textId="54F3D7D2" w:rsidR="00D71F90" w:rsidRPr="00BD0E10" w:rsidRDefault="00D71F90" w:rsidP="003C5B18">
            <w:pPr>
              <w:pStyle w:val="Default"/>
              <w:rPr>
                <w:noProof/>
                <w:color w:val="FF0000"/>
                <w:sz w:val="22"/>
                <w:szCs w:val="22"/>
              </w:rPr>
            </w:pPr>
            <w:r>
              <w:rPr>
                <w:sz w:val="22"/>
              </w:rPr>
              <w:t>Oprogramowanie musi być kontrolowane przez użytkowników Active Directory.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B8FFA" w14:textId="77777777" w:rsidR="00D71F90" w:rsidRPr="00BD0E10" w:rsidRDefault="00D71F90" w:rsidP="003C5B18">
            <w:pPr>
              <w:pStyle w:val="Default"/>
              <w:jc w:val="center"/>
              <w:rPr>
                <w:noProof/>
                <w:sz w:val="22"/>
                <w:szCs w:val="22"/>
              </w:rPr>
            </w:pPr>
            <w:r>
              <w:rPr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8BEF" w14:textId="77777777" w:rsidR="00D71F90" w:rsidRPr="00BD0E10" w:rsidRDefault="00D71F90" w:rsidP="003C5B18">
            <w:pPr>
              <w:pStyle w:val="Default"/>
              <w:jc w:val="center"/>
              <w:rPr>
                <w:noProof/>
                <w:sz w:val="22"/>
                <w:szCs w:val="22"/>
                <w:lang w:val="en-US"/>
              </w:rPr>
            </w:pPr>
          </w:p>
        </w:tc>
      </w:tr>
      <w:tr w:rsidR="00D71F90" w:rsidRPr="00BD0E10" w14:paraId="07B127D3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18B047" w14:textId="40A1CCE9" w:rsidR="00D71F90" w:rsidRPr="00BD0E10" w:rsidRDefault="00D71F90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lastRenderedPageBreak/>
              <w:t>URS-3.1.2.03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2F8529" w14:textId="5D27EFBC" w:rsidR="00D71F90" w:rsidRPr="00BD0E10" w:rsidRDefault="00D71F90" w:rsidP="003C5B18">
            <w:pPr>
              <w:pStyle w:val="Default"/>
              <w:rPr>
                <w:color w:val="FF0000"/>
                <w:sz w:val="22"/>
                <w:szCs w:val="22"/>
              </w:rPr>
            </w:pPr>
            <w:r>
              <w:rPr>
                <w:sz w:val="22"/>
              </w:rPr>
              <w:t>Oprogramowanie musi być zgodne z normą 21 CFR część 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448EA" w14:textId="6B584C5F" w:rsidR="00D71F90" w:rsidRPr="00BD0E10" w:rsidRDefault="00EC204A" w:rsidP="003C5B18">
            <w:pPr>
              <w:pStyle w:val="Default"/>
              <w:jc w:val="center"/>
              <w:rPr>
                <w:bCs/>
                <w:noProof/>
                <w:sz w:val="22"/>
                <w:szCs w:val="22"/>
              </w:rPr>
            </w:pPr>
            <w:r>
              <w:rPr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4F6F" w14:textId="77777777" w:rsidR="00D71F90" w:rsidRPr="00BD0E10" w:rsidRDefault="00D71F90" w:rsidP="003C5B18">
            <w:pPr>
              <w:pStyle w:val="Default"/>
              <w:jc w:val="center"/>
              <w:rPr>
                <w:noProof/>
                <w:sz w:val="22"/>
                <w:szCs w:val="22"/>
                <w:lang w:val="en-US"/>
              </w:rPr>
            </w:pPr>
          </w:p>
        </w:tc>
      </w:tr>
      <w:tr w:rsidR="009456FB" w:rsidRPr="00BD0E10" w14:paraId="7B260D90" w14:textId="77777777" w:rsidTr="00D71F90">
        <w:trPr>
          <w:trHeight w:val="284"/>
          <w:jc w:val="center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517C9B" w14:textId="77777777" w:rsidR="009456FB" w:rsidRPr="00BD0E10" w:rsidRDefault="009456FB" w:rsidP="003C5B18">
            <w:pPr>
              <w:snapToGrid w:val="0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3.1.3. Alarmy</w:t>
            </w:r>
          </w:p>
        </w:tc>
      </w:tr>
      <w:tr w:rsidR="00D71F90" w:rsidRPr="00BD0E10" w14:paraId="7CDCE497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E3438C" w14:textId="77777777" w:rsidR="00D71F90" w:rsidRPr="00BD0E10" w:rsidRDefault="00D71F90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URS-3.1.3.01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A343FA" w14:textId="6024E054" w:rsidR="00D71F90" w:rsidRPr="00BD0E10" w:rsidRDefault="00D71F90" w:rsidP="003C5B18">
            <w:pPr>
              <w:pStyle w:val="Default"/>
              <w:jc w:val="both"/>
              <w:rPr>
                <w:noProof/>
                <w:color w:val="FF0000"/>
                <w:sz w:val="22"/>
                <w:szCs w:val="22"/>
              </w:rPr>
            </w:pPr>
            <w:r>
              <w:rPr>
                <w:sz w:val="22"/>
              </w:rPr>
              <w:t>Niska lub wysoka objętość napełniania przekraczająca dopuszczalne limity.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399E0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 xml:space="preserve">M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5D9AF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D71F90" w:rsidRPr="00BD0E10" w14:paraId="6F593DDE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3A62C7" w14:textId="77777777" w:rsidR="00D71F90" w:rsidRPr="00BD0E10" w:rsidRDefault="00D71F90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URS-3.1.3.02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C31C0" w14:textId="01BED8FA" w:rsidR="00D71F90" w:rsidRPr="00BD0E10" w:rsidRDefault="00D71F90" w:rsidP="003C5B18">
            <w:pPr>
              <w:pStyle w:val="Default"/>
              <w:jc w:val="both"/>
              <w:rPr>
                <w:noProof/>
                <w:color w:val="FF0000"/>
                <w:sz w:val="22"/>
                <w:szCs w:val="22"/>
              </w:rPr>
            </w:pPr>
            <w:r>
              <w:rPr>
                <w:sz w:val="22"/>
              </w:rPr>
              <w:t>Awaria zasilania lub nagłe wyłączenie.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D7B33" w14:textId="685F14F2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BB2DB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D71F90" w:rsidRPr="00BD0E10" w14:paraId="3C6EE5BD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161DDE" w14:textId="27102EF4" w:rsidR="00D71F90" w:rsidRPr="00BD0E10" w:rsidRDefault="00D71F90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URS-3.1.3.03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84D07A" w14:textId="6BF783B2" w:rsidR="00D71F90" w:rsidRPr="00BD0E10" w:rsidRDefault="00D71F90" w:rsidP="003C5B18">
            <w:pPr>
              <w:pStyle w:val="Default"/>
              <w:jc w:val="both"/>
              <w:rPr>
                <w:noProof/>
                <w:sz w:val="22"/>
                <w:szCs w:val="22"/>
              </w:rPr>
            </w:pPr>
            <w:r>
              <w:rPr>
                <w:sz w:val="22"/>
              </w:rPr>
              <w:t>Nieprawidłowe ciśnienie lub próżnia w systemie RABS.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E917D" w14:textId="745D78DF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15BE3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D71F90" w:rsidRPr="00BD0E10" w14:paraId="1AEB88A5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23A321" w14:textId="3E56E470" w:rsidR="00D71F90" w:rsidRPr="00BD0E10" w:rsidRDefault="00D71F90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URS-3.1.3.04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362750" w14:textId="11843DBA" w:rsidR="00D71F90" w:rsidRPr="00BD0E10" w:rsidRDefault="00D71F90" w:rsidP="003C5B18">
            <w:pPr>
              <w:pStyle w:val="Default"/>
              <w:jc w:val="both"/>
              <w:rPr>
                <w:noProof/>
                <w:sz w:val="22"/>
                <w:szCs w:val="22"/>
              </w:rPr>
            </w:pPr>
            <w:r>
              <w:rPr>
                <w:sz w:val="22"/>
              </w:rPr>
              <w:t>Odchylenie prędkości przepływu powietrza przez filtr HEPA lub awaria integralności.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F31DA" w14:textId="506F6B10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93036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D71F90" w:rsidRPr="00BD0E10" w14:paraId="6A526CEC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908DA" w14:textId="0F418D6F" w:rsidR="00D71F90" w:rsidRPr="00BD0E10" w:rsidRDefault="00D71F90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URS-3.1.3.05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57FB2" w14:textId="2B755311" w:rsidR="00D71F90" w:rsidRPr="00BD0E10" w:rsidRDefault="00D71F90" w:rsidP="003C5B18">
            <w:pPr>
              <w:pStyle w:val="Default"/>
              <w:jc w:val="both"/>
              <w:rPr>
                <w:noProof/>
                <w:sz w:val="22"/>
                <w:szCs w:val="22"/>
              </w:rPr>
            </w:pPr>
            <w:r>
              <w:rPr>
                <w:sz w:val="22"/>
              </w:rPr>
              <w:t>Awaria pompy lub zatkanie przewodów wpływające na transfer cieczy.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083BD" w14:textId="12094A1A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C6744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9456FB" w:rsidRPr="00BD0E10" w14:paraId="0117FD43" w14:textId="77777777" w:rsidTr="00D71F90">
        <w:trPr>
          <w:trHeight w:val="284"/>
          <w:jc w:val="center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AAF8CE" w14:textId="19304B1F" w:rsidR="009456FB" w:rsidRPr="00BD0E10" w:rsidRDefault="009456FB" w:rsidP="003C5B18">
            <w:pPr>
              <w:snapToGrid w:val="0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3.1.4. Zarządzanie danymi</w:t>
            </w:r>
          </w:p>
        </w:tc>
      </w:tr>
      <w:tr w:rsidR="006935D8" w:rsidRPr="00BD0E10" w14:paraId="4D3AA409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32A64" w14:textId="22A8A062" w:rsidR="006935D8" w:rsidRPr="00BD0E10" w:rsidRDefault="006935D8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URS-3.1.4.01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6E20DC" w14:textId="60ADEB8B" w:rsidR="006935D8" w:rsidRPr="00C00B23" w:rsidRDefault="006935D8" w:rsidP="006935D8">
            <w:pPr>
              <w:jc w:val="both"/>
              <w:rPr>
                <w:rFonts w:ascii="Arial" w:hAnsi="Arial" w:cs="Arial"/>
                <w:b/>
                <w:bCs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System powinien umożliwiać eksportowanie zapisów elektronicznych w formacie przenośnym (np. XLS, PDF).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F6C4A" w14:textId="13390034" w:rsidR="006935D8" w:rsidRPr="00BD0E10" w:rsidRDefault="00C00B23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A40F4" w14:textId="77777777" w:rsidR="006935D8" w:rsidRPr="00BD0E10" w:rsidRDefault="006935D8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6935D8" w:rsidRPr="00BD0E10" w14:paraId="511DE1A1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DD5B84" w14:textId="162D7171" w:rsidR="006935D8" w:rsidRPr="00BD0E10" w:rsidRDefault="006935D8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URS-3.1.4.02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0CC638" w14:textId="39B588DE" w:rsidR="006935D8" w:rsidRPr="00C00B23" w:rsidRDefault="006935D8" w:rsidP="006935D8">
            <w:pPr>
              <w:jc w:val="both"/>
              <w:rPr>
                <w:rFonts w:ascii="Arial" w:hAnsi="Arial" w:cs="Arial"/>
                <w:b/>
                <w:bCs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Jeśli strategia przechowywania nie pozwala na zachowanie dokumentacji elektronicznej w oryginalnym systemie, system komputerowy (CS) powinien posiadać mechanizm archiwizacji dokumentacji elektronicznej w plikach o standardowym formacie (np. PDF, Common / global XML Standards). Wybrany format można zastąpić najnowocześniejszą technologią.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486D" w14:textId="204D9F1C" w:rsidR="006935D8" w:rsidRPr="00BD0E10" w:rsidRDefault="00C00B23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087FE" w14:textId="77777777" w:rsidR="006935D8" w:rsidRPr="00BD0E10" w:rsidRDefault="006935D8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6935D8" w:rsidRPr="00BD0E10" w14:paraId="4D3B0795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E6B337" w14:textId="430D5C76" w:rsidR="006935D8" w:rsidRPr="00BD0E10" w:rsidRDefault="006935D8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URS-3.1.4.03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75F036" w14:textId="44B18A54" w:rsidR="006935D8" w:rsidRPr="00863466" w:rsidRDefault="006935D8" w:rsidP="006935D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Powinna być dostępna procedura archiwizacji danych.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D4067" w14:textId="5CDDB8D5" w:rsidR="006935D8" w:rsidRPr="00BD0E10" w:rsidRDefault="00C00B23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C81C4" w14:textId="77777777" w:rsidR="006935D8" w:rsidRPr="00BD0E10" w:rsidRDefault="006935D8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6935D8" w:rsidRPr="00BD0E10" w14:paraId="35828CFD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5F6DA" w14:textId="70C558B0" w:rsidR="006935D8" w:rsidRPr="00BD0E10" w:rsidRDefault="006935D8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URS-3.1.4.04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3BCBBC" w14:textId="61D9234F" w:rsidR="006935D8" w:rsidRPr="00C00B23" w:rsidRDefault="006935D8" w:rsidP="006935D8">
            <w:pPr>
              <w:jc w:val="both"/>
              <w:rPr>
                <w:rFonts w:ascii="Arial" w:hAnsi="Arial" w:cs="Arial"/>
                <w:b/>
                <w:bCs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Musi istnieć możliwość tworzenia i przechowywania zbiorczych rekordów danych (raportów). Każdy przebieg / dane testowe będą gromadzone, rejestrowane elektronicznie i archiwizowane w formacie przenośnym (np. pdf).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3B5A1" w14:textId="4108B50C" w:rsidR="006935D8" w:rsidRPr="00BD0E10" w:rsidRDefault="00C00B23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B9C28" w14:textId="77777777" w:rsidR="006935D8" w:rsidRPr="00BD0E10" w:rsidRDefault="006935D8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550667" w:rsidRPr="00BD0E10" w14:paraId="2DBCB5FC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A5562" w14:textId="3F3A5867" w:rsidR="00550667" w:rsidRPr="00BD0E10" w:rsidRDefault="00C00B23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URS-3.1.4.05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41ACF7" w14:textId="77777777" w:rsidR="00550667" w:rsidRPr="00FE2B87" w:rsidRDefault="00550667" w:rsidP="00550667">
            <w:pPr>
              <w:pStyle w:val="NormalnyWeb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System SCADA powinien mieć możliwość generowania </w:t>
            </w:r>
            <w:r>
              <w:rPr>
                <w:rStyle w:val="Pogrubienie"/>
                <w:rFonts w:ascii="Arial" w:hAnsi="Arial"/>
                <w:b w:val="0"/>
                <w:color w:val="000000" w:themeColor="text1"/>
                <w:sz w:val="22"/>
              </w:rPr>
              <w:t>raportu partii</w:t>
            </w:r>
            <w:r>
              <w:rPr>
                <w:rFonts w:ascii="Arial" w:hAnsi="Arial"/>
                <w:color w:val="000000" w:themeColor="text1"/>
                <w:sz w:val="22"/>
              </w:rPr>
              <w:t xml:space="preserve"> zawierającego co najmniej następujące informacje, zgodnie z wymogami dobrej praktyki automatyzacji produkcji (GAMP) i 21 CFR część 11:</w:t>
            </w:r>
          </w:p>
          <w:p w14:paraId="13118523" w14:textId="77777777" w:rsidR="002A435A" w:rsidRPr="00FE2B87" w:rsidRDefault="00550667" w:rsidP="002A435A">
            <w:pPr>
              <w:pStyle w:val="NormalnyWeb"/>
              <w:numPr>
                <w:ilvl w:val="0"/>
                <w:numId w:val="15"/>
              </w:numPr>
              <w:ind w:left="504"/>
              <w:rPr>
                <w:rStyle w:val="Pogrubienie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Pogrubienie"/>
                <w:rFonts w:ascii="Arial" w:hAnsi="Arial"/>
                <w:b w:val="0"/>
                <w:color w:val="000000" w:themeColor="text1"/>
                <w:sz w:val="22"/>
              </w:rPr>
              <w:t>Data i godzina rozpoczęcia partii;</w:t>
            </w:r>
          </w:p>
          <w:p w14:paraId="6486AB6F" w14:textId="77777777" w:rsidR="002A435A" w:rsidRPr="00FE2B87" w:rsidRDefault="00550667" w:rsidP="002A435A">
            <w:pPr>
              <w:pStyle w:val="NormalnyWeb"/>
              <w:numPr>
                <w:ilvl w:val="0"/>
                <w:numId w:val="15"/>
              </w:numPr>
              <w:ind w:left="504"/>
              <w:rPr>
                <w:rStyle w:val="Pogrubienie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Pogrubienie"/>
                <w:rFonts w:ascii="Arial" w:hAnsi="Arial"/>
                <w:b w:val="0"/>
                <w:color w:val="000000" w:themeColor="text1"/>
                <w:sz w:val="22"/>
              </w:rPr>
              <w:t>Data i godzina zakończenia partii;</w:t>
            </w:r>
          </w:p>
          <w:p w14:paraId="3BDD24C5" w14:textId="77777777" w:rsidR="002A435A" w:rsidRPr="00FE2B87" w:rsidRDefault="00550667" w:rsidP="002A435A">
            <w:pPr>
              <w:pStyle w:val="NormalnyWeb"/>
              <w:numPr>
                <w:ilvl w:val="0"/>
                <w:numId w:val="15"/>
              </w:numPr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Style w:val="Pogrubienie"/>
                <w:rFonts w:ascii="Arial" w:hAnsi="Arial"/>
                <w:b w:val="0"/>
                <w:color w:val="000000" w:themeColor="text1"/>
                <w:sz w:val="22"/>
              </w:rPr>
              <w:t>Opis partii (</w:t>
            </w:r>
            <w:r>
              <w:rPr>
                <w:rFonts w:ascii="Arial" w:hAnsi="Arial"/>
                <w:color w:val="000000" w:themeColor="text1"/>
                <w:sz w:val="22"/>
              </w:rPr>
              <w:t>nazwa, numer partii);</w:t>
            </w:r>
          </w:p>
          <w:p w14:paraId="095A4BF3" w14:textId="77777777" w:rsidR="002A435A" w:rsidRPr="00FE2B87" w:rsidRDefault="00550667" w:rsidP="002A435A">
            <w:pPr>
              <w:pStyle w:val="NormalnyWeb"/>
              <w:numPr>
                <w:ilvl w:val="0"/>
                <w:numId w:val="15"/>
              </w:numPr>
              <w:ind w:left="504"/>
              <w:rPr>
                <w:rStyle w:val="Pogrubienie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Pogrubienie"/>
                <w:rFonts w:ascii="Arial" w:hAnsi="Arial"/>
                <w:b w:val="0"/>
                <w:color w:val="000000" w:themeColor="text1"/>
                <w:sz w:val="22"/>
              </w:rPr>
              <w:t>Identyfikator zalogowanego użytkownika inicjującego partię;</w:t>
            </w:r>
          </w:p>
          <w:p w14:paraId="78891D2B" w14:textId="77777777" w:rsidR="002A435A" w:rsidRPr="00FE2B87" w:rsidRDefault="00550667" w:rsidP="002A435A">
            <w:pPr>
              <w:pStyle w:val="NormalnyWeb"/>
              <w:numPr>
                <w:ilvl w:val="0"/>
                <w:numId w:val="15"/>
              </w:numPr>
              <w:ind w:left="504"/>
              <w:rPr>
                <w:rStyle w:val="Pogrubienie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Pogrubienie"/>
                <w:rFonts w:ascii="Arial" w:hAnsi="Arial"/>
                <w:b w:val="0"/>
                <w:color w:val="000000" w:themeColor="text1"/>
                <w:sz w:val="22"/>
              </w:rPr>
              <w:t>Całkowita liczba wyprodukowanych fiolki dobrej jakości;</w:t>
            </w:r>
          </w:p>
          <w:p w14:paraId="2AF4A6F9" w14:textId="77777777" w:rsidR="002A435A" w:rsidRPr="00FE2B87" w:rsidRDefault="00550667" w:rsidP="002A435A">
            <w:pPr>
              <w:pStyle w:val="NormalnyWeb"/>
              <w:numPr>
                <w:ilvl w:val="0"/>
                <w:numId w:val="15"/>
              </w:numPr>
              <w:ind w:left="504"/>
              <w:rPr>
                <w:rStyle w:val="Pogrubienie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Pogrubienie"/>
                <w:rFonts w:ascii="Arial" w:hAnsi="Arial"/>
                <w:b w:val="0"/>
                <w:color w:val="000000" w:themeColor="text1"/>
                <w:sz w:val="22"/>
              </w:rPr>
              <w:t>Całkowita liczba odrzuconych fiolek;</w:t>
            </w:r>
          </w:p>
          <w:p w14:paraId="6E0EDE7A" w14:textId="77777777" w:rsidR="002A435A" w:rsidRPr="00FE2B87" w:rsidRDefault="00550667" w:rsidP="002A435A">
            <w:pPr>
              <w:pStyle w:val="NormalnyWeb"/>
              <w:numPr>
                <w:ilvl w:val="0"/>
                <w:numId w:val="15"/>
              </w:numPr>
              <w:ind w:left="504"/>
              <w:rPr>
                <w:rStyle w:val="Pogrubienie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Pogrubienie"/>
                <w:rFonts w:ascii="Arial" w:hAnsi="Arial"/>
                <w:b w:val="0"/>
                <w:color w:val="000000" w:themeColor="text1"/>
                <w:sz w:val="22"/>
              </w:rPr>
              <w:t>Indywidualna waga każdej fiolki (zarówno przyjętej, jak i odrzuconej);</w:t>
            </w:r>
          </w:p>
          <w:p w14:paraId="18B98E7F" w14:textId="77777777" w:rsidR="002A435A" w:rsidRPr="00FE2B87" w:rsidRDefault="00550667" w:rsidP="002A435A">
            <w:pPr>
              <w:pStyle w:val="NormalnyWeb"/>
              <w:numPr>
                <w:ilvl w:val="0"/>
                <w:numId w:val="15"/>
              </w:numPr>
              <w:ind w:left="504"/>
              <w:rPr>
                <w:rStyle w:val="Pogrubienie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Pogrubienie"/>
                <w:rFonts w:ascii="Arial" w:hAnsi="Arial"/>
                <w:b w:val="0"/>
                <w:color w:val="000000" w:themeColor="text1"/>
                <w:sz w:val="22"/>
              </w:rPr>
              <w:lastRenderedPageBreak/>
              <w:t>Zmiany masy fiolek w całej partii;</w:t>
            </w:r>
          </w:p>
          <w:p w14:paraId="02C410A6" w14:textId="77777777" w:rsidR="002A435A" w:rsidRPr="00FE2B87" w:rsidRDefault="00550667" w:rsidP="002A435A">
            <w:pPr>
              <w:pStyle w:val="NormalnyWeb"/>
              <w:numPr>
                <w:ilvl w:val="0"/>
                <w:numId w:val="15"/>
              </w:numPr>
              <w:ind w:left="504"/>
              <w:rPr>
                <w:rStyle w:val="Pogrubienie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Pogrubienie"/>
                <w:rFonts w:ascii="Arial" w:hAnsi="Arial"/>
                <w:b w:val="0"/>
                <w:color w:val="000000" w:themeColor="text1"/>
                <w:sz w:val="22"/>
              </w:rPr>
              <w:t>Data i godzina wystąpienia każdego alarmu;</w:t>
            </w:r>
          </w:p>
          <w:p w14:paraId="50B58437" w14:textId="77777777" w:rsidR="002A435A" w:rsidRPr="00FE2B87" w:rsidRDefault="00550667" w:rsidP="002A435A">
            <w:pPr>
              <w:pStyle w:val="NormalnyWeb"/>
              <w:numPr>
                <w:ilvl w:val="0"/>
                <w:numId w:val="15"/>
              </w:numPr>
              <w:ind w:left="504"/>
              <w:rPr>
                <w:rStyle w:val="Pogrubienie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Pogrubienie"/>
                <w:rFonts w:ascii="Arial" w:hAnsi="Arial"/>
                <w:b w:val="0"/>
                <w:color w:val="000000" w:themeColor="text1"/>
                <w:sz w:val="22"/>
              </w:rPr>
              <w:t>Data i godzina każdego potwierdzenia/resetowania alarmu;</w:t>
            </w:r>
          </w:p>
          <w:p w14:paraId="77F017C3" w14:textId="77777777" w:rsidR="002A435A" w:rsidRPr="00AE35B3" w:rsidRDefault="00550667" w:rsidP="002A435A">
            <w:pPr>
              <w:pStyle w:val="NormalnyWeb"/>
              <w:numPr>
                <w:ilvl w:val="0"/>
                <w:numId w:val="15"/>
              </w:numPr>
              <w:ind w:left="504"/>
              <w:rPr>
                <w:rStyle w:val="Pogrubienie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Pogrubienie"/>
                <w:rFonts w:ascii="Arial" w:hAnsi="Arial"/>
                <w:b w:val="0"/>
                <w:color w:val="000000" w:themeColor="text1"/>
                <w:sz w:val="22"/>
              </w:rPr>
              <w:t>Unikalny identyfikator alarmu (Alarm ID);</w:t>
            </w:r>
          </w:p>
          <w:p w14:paraId="007A6B6B" w14:textId="7D8F27A0" w:rsidR="00550667" w:rsidRPr="00C00B23" w:rsidRDefault="00550667" w:rsidP="002A435A">
            <w:pPr>
              <w:pStyle w:val="NormalnyWeb"/>
              <w:numPr>
                <w:ilvl w:val="0"/>
                <w:numId w:val="15"/>
              </w:numPr>
              <w:ind w:left="504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Style w:val="Pogrubienie"/>
                <w:rFonts w:ascii="Arial" w:hAnsi="Arial"/>
                <w:b w:val="0"/>
                <w:color w:val="000000" w:themeColor="text1"/>
                <w:sz w:val="22"/>
              </w:rPr>
              <w:t>Identyfikator użytkownika operatora, który wykonał podpis elektroniczny dla każdego alarmu wymagającego takiej autoryzacji.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7A10A" w14:textId="3C5E33EC" w:rsidR="00550667" w:rsidRPr="00BD0E10" w:rsidRDefault="00C00B23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lastRenderedPageBreak/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9ED2D" w14:textId="77777777" w:rsidR="00550667" w:rsidRPr="00BD0E10" w:rsidRDefault="00550667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9456FB" w:rsidRPr="00BD0E10" w14:paraId="2D2ACA6F" w14:textId="77777777" w:rsidTr="00D71F90">
        <w:trPr>
          <w:trHeight w:val="284"/>
          <w:jc w:val="center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193C4A" w14:textId="77777777" w:rsidR="009456FB" w:rsidRPr="00C00B23" w:rsidRDefault="009456FB" w:rsidP="003C5B18">
            <w:pPr>
              <w:snapToGrid w:val="0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3.1.5. Bezpieczeństwo danych</w:t>
            </w:r>
          </w:p>
        </w:tc>
      </w:tr>
      <w:tr w:rsidR="00D71F90" w:rsidRPr="00BD0E10" w14:paraId="42482294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4DF36" w14:textId="77777777" w:rsidR="00D71F90" w:rsidRPr="00BD0E10" w:rsidRDefault="00D71F90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URS-3.1.5.01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14011F" w14:textId="3868FC02" w:rsidR="00D71F90" w:rsidRPr="00BD0E10" w:rsidRDefault="00D71F90" w:rsidP="003C5B18">
            <w:pPr>
              <w:pStyle w:val="Default"/>
              <w:jc w:val="both"/>
              <w:rPr>
                <w:noProof/>
                <w:sz w:val="22"/>
                <w:szCs w:val="22"/>
              </w:rPr>
            </w:pPr>
            <w:r>
              <w:rPr>
                <w:sz w:val="22"/>
              </w:rPr>
              <w:t>Wszystkie zapisy historyczne powinny być dostępne do wydrukowania.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BC852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C5C28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9456FB" w:rsidRPr="00BD0E10" w14:paraId="52E0D1C6" w14:textId="77777777" w:rsidTr="00D71F90">
        <w:trPr>
          <w:trHeight w:val="284"/>
          <w:jc w:val="center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635C82" w14:textId="77777777" w:rsidR="009456FB" w:rsidRPr="00BD0E10" w:rsidRDefault="009456FB" w:rsidP="003C5B18">
            <w:pPr>
              <w:snapToGrid w:val="0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3.1.6. Dostęp do systemu</w:t>
            </w:r>
          </w:p>
        </w:tc>
      </w:tr>
      <w:tr w:rsidR="00B95D61" w:rsidRPr="00BD0E10" w14:paraId="36992EA8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1EA52" w14:textId="64B02216" w:rsidR="00B95D61" w:rsidRPr="00BD0E10" w:rsidRDefault="00B95D61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URS-3.1.6.01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9FEE75" w14:textId="77777777" w:rsidR="00B95D61" w:rsidRPr="00FE2B87" w:rsidRDefault="00B95D61" w:rsidP="00B95D61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Prawa dostępu do oprogramowania muszą być zarządzane przez co najmniej następujące grupy użytkowników:</w:t>
            </w:r>
          </w:p>
          <w:p w14:paraId="465BDBA0" w14:textId="77777777" w:rsidR="00B95D61" w:rsidRPr="00FE2B87" w:rsidRDefault="00B95D61" w:rsidP="00B95D61">
            <w:pPr>
              <w:numPr>
                <w:ilvl w:val="0"/>
                <w:numId w:val="10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Operator;</w:t>
            </w:r>
          </w:p>
          <w:p w14:paraId="667B6964" w14:textId="77777777" w:rsidR="00B95D61" w:rsidRPr="00FE2B87" w:rsidRDefault="00B95D61" w:rsidP="00B95D61">
            <w:pPr>
              <w:numPr>
                <w:ilvl w:val="0"/>
                <w:numId w:val="10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Kierownik;</w:t>
            </w:r>
          </w:p>
          <w:p w14:paraId="7E585A6B" w14:textId="77777777" w:rsidR="00B95D61" w:rsidRPr="00FE2B87" w:rsidRDefault="00B95D61" w:rsidP="00B95D61">
            <w:pPr>
              <w:numPr>
                <w:ilvl w:val="0"/>
                <w:numId w:val="10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Konserwacja;</w:t>
            </w:r>
          </w:p>
          <w:p w14:paraId="2C670D94" w14:textId="5871560D" w:rsidR="00B95D61" w:rsidRPr="00C00B23" w:rsidRDefault="00B95D61" w:rsidP="00B95D61">
            <w:pPr>
              <w:numPr>
                <w:ilvl w:val="0"/>
                <w:numId w:val="10"/>
              </w:numPr>
              <w:ind w:left="504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Administrator.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0ACAD" w14:textId="6BE2941C" w:rsidR="00B95D61" w:rsidRPr="00BD0E10" w:rsidRDefault="00C00B23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D2E61" w14:textId="77777777" w:rsidR="00B95D61" w:rsidRPr="00BD0E10" w:rsidRDefault="00B95D61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B95D61" w:rsidRPr="00BD0E10" w14:paraId="013E7DE9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BE3EB" w14:textId="2A4242FC" w:rsidR="00B95D61" w:rsidRPr="00BD0E10" w:rsidRDefault="00B95D61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URS-3.1.6.02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B4FAB" w14:textId="77777777" w:rsidR="00B95D61" w:rsidRPr="00FE2B87" w:rsidRDefault="00B95D61" w:rsidP="00B95D61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System powinien dopuszczać hasła wysokiej jakości, np. złożone kombinacje cyfr i liter. Obecna zasada ISEC wymaga, aby hasła składały się z co najmniej 8 znaków i zawierały 3 z następujących 4 elementów:</w:t>
            </w:r>
          </w:p>
          <w:p w14:paraId="0AB3009A" w14:textId="77777777" w:rsidR="00B95D61" w:rsidRPr="00FE2B87" w:rsidRDefault="00B95D61" w:rsidP="00B95D61">
            <w:pPr>
              <w:numPr>
                <w:ilvl w:val="0"/>
                <w:numId w:val="11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Co najmniej 1 wielka litera;</w:t>
            </w:r>
          </w:p>
          <w:p w14:paraId="66B82326" w14:textId="77777777" w:rsidR="00B95D61" w:rsidRPr="00FE2B87" w:rsidRDefault="00B95D61" w:rsidP="00B95D61">
            <w:pPr>
              <w:numPr>
                <w:ilvl w:val="0"/>
                <w:numId w:val="11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Co najmniej 1 mała litera;</w:t>
            </w:r>
          </w:p>
          <w:p w14:paraId="7942FBB6" w14:textId="77777777" w:rsidR="00B95D61" w:rsidRPr="00FE2B87" w:rsidRDefault="00B95D61" w:rsidP="00B95D61">
            <w:pPr>
              <w:numPr>
                <w:ilvl w:val="0"/>
                <w:numId w:val="11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Co najmniej 1 cyfra;</w:t>
            </w:r>
          </w:p>
          <w:p w14:paraId="515373FB" w14:textId="54E0738F" w:rsidR="00B95D61" w:rsidRPr="00C00B23" w:rsidRDefault="00B95D61" w:rsidP="00B95D61">
            <w:pPr>
              <w:numPr>
                <w:ilvl w:val="0"/>
                <w:numId w:val="11"/>
              </w:numPr>
              <w:ind w:left="504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Co najmniej 1 znak specjalny.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53436" w14:textId="6E58ECD1" w:rsidR="00B95D61" w:rsidRPr="00BD0E10" w:rsidRDefault="00C00B23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0AECB" w14:textId="77777777" w:rsidR="00B95D61" w:rsidRPr="00BD0E10" w:rsidRDefault="00B95D61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B95D61" w:rsidRPr="00BD0E10" w14:paraId="5B400269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1964A" w14:textId="17E5F0B6" w:rsidR="00B95D61" w:rsidRPr="00BD0E10" w:rsidRDefault="00B95D61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URS-3.1.6.03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F825B" w14:textId="7B739E02" w:rsidR="00B95D61" w:rsidRPr="00C00B23" w:rsidRDefault="00B95D61" w:rsidP="00B95D61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System musi posiadać mechanizm, który automatycznie blokuje dostęp, jeśli nie był obsługiwany przez 15 minut.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89EFE" w14:textId="64821312" w:rsidR="00B95D61" w:rsidRPr="00BD0E10" w:rsidRDefault="00C00B23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707B" w14:textId="77777777" w:rsidR="00B95D61" w:rsidRPr="00BD0E10" w:rsidRDefault="00B95D61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9456FB" w:rsidRPr="00BD0E10" w14:paraId="68C54A53" w14:textId="77777777" w:rsidTr="00D71F90">
        <w:trPr>
          <w:trHeight w:val="284"/>
          <w:jc w:val="center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D3A09D" w14:textId="77777777" w:rsidR="009456FB" w:rsidRPr="00BD0E10" w:rsidRDefault="009456FB" w:rsidP="003C5B18">
            <w:pPr>
              <w:snapToGrid w:val="0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3.1.7. Kontrola działań użytkowników</w:t>
            </w:r>
          </w:p>
        </w:tc>
      </w:tr>
      <w:tr w:rsidR="00B95D61" w:rsidRPr="00BD0E10" w14:paraId="0383341F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901456" w14:textId="7CCCFBF9" w:rsidR="00B95D61" w:rsidRPr="00BD0E10" w:rsidRDefault="00B95D61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URS-3.1.7.01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68F40C" w14:textId="5B8F4EED" w:rsidR="00B95D61" w:rsidRPr="00157180" w:rsidRDefault="00B95D61" w:rsidP="00B95D61">
            <w:pPr>
              <w:jc w:val="both"/>
              <w:rPr>
                <w:rFonts w:ascii="Arial" w:hAnsi="Arial" w:cs="Arial"/>
                <w:b/>
                <w:bCs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System automatycznie generuje ścieżkę audytu dla działań użytkowników.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72ACD" w14:textId="6766231F" w:rsidR="00B95D61" w:rsidRPr="00BD0E10" w:rsidRDefault="00C00B23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1EE63" w14:textId="77777777" w:rsidR="00B95D61" w:rsidRPr="00BD0E10" w:rsidRDefault="00B95D61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B95D61" w:rsidRPr="00BD0E10" w14:paraId="139E55DE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DC07B7" w14:textId="60990E46" w:rsidR="00B95D61" w:rsidRPr="00BD0E10" w:rsidRDefault="00B95D61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URS-3.1.7.02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0409F" w14:textId="77777777" w:rsidR="00B95D61" w:rsidRPr="00FE2B87" w:rsidRDefault="00B95D61" w:rsidP="00B95D61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Ślady audytowe generowane komputerowo powinny obejmować:</w:t>
            </w:r>
          </w:p>
          <w:p w14:paraId="170A1CEE" w14:textId="77777777" w:rsidR="00B95D61" w:rsidRPr="00FE2B87" w:rsidRDefault="00B95D61" w:rsidP="00B95D61">
            <w:pPr>
              <w:numPr>
                <w:ilvl w:val="0"/>
                <w:numId w:val="12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Identyfikator użytkownika osoby wykonującej działanie (WHO);</w:t>
            </w:r>
          </w:p>
          <w:p w14:paraId="15F7E1B6" w14:textId="77777777" w:rsidR="00B95D61" w:rsidRPr="00FE2B87" w:rsidRDefault="00B95D61" w:rsidP="00B95D61">
            <w:pPr>
              <w:numPr>
                <w:ilvl w:val="0"/>
                <w:numId w:val="12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Data i godzina wykonania (KIEDY);</w:t>
            </w:r>
          </w:p>
          <w:p w14:paraId="5279057B" w14:textId="77777777" w:rsidR="001C3BCA" w:rsidRPr="00FE2B87" w:rsidRDefault="00B95D61" w:rsidP="001C3BCA">
            <w:pPr>
              <w:numPr>
                <w:ilvl w:val="0"/>
                <w:numId w:val="12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Który parametr został zmieniony oraz z jakiej wartości na jaką (CO);</w:t>
            </w:r>
          </w:p>
          <w:p w14:paraId="2120E0C2" w14:textId="0C4A04A7" w:rsidR="00B95D61" w:rsidRPr="00157180" w:rsidRDefault="00B95D61" w:rsidP="001C3BCA">
            <w:pPr>
              <w:numPr>
                <w:ilvl w:val="0"/>
                <w:numId w:val="12"/>
              </w:numPr>
              <w:ind w:left="504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Możliwy powód działania (DLACZEGO).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B2DE6" w14:textId="545E521F" w:rsidR="00B95D61" w:rsidRPr="00BD0E10" w:rsidRDefault="00C00B23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C859B" w14:textId="77777777" w:rsidR="00B95D61" w:rsidRPr="00BD0E10" w:rsidRDefault="00B95D61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1C3BCA" w:rsidRPr="00BD0E10" w14:paraId="22CF0F8A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730888" w14:textId="3FE0E98B" w:rsidR="001C3BCA" w:rsidRPr="00BD0E10" w:rsidRDefault="001C3BCA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URS-3.1.7.03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1B15D6" w14:textId="080512B6" w:rsidR="001C3BCA" w:rsidRPr="00157180" w:rsidRDefault="001C3BCA" w:rsidP="00B95D61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Ścieżka audytu nie może być modyfikowana, usuwana ani dezaktywowana przez użytkowników posiadających ogólne uprawnienia dostępu.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170B5" w14:textId="418164C0" w:rsidR="001C3BCA" w:rsidRPr="00BD0E10" w:rsidRDefault="00C00B23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DB1E8" w14:textId="77777777" w:rsidR="001C3BCA" w:rsidRPr="00BD0E10" w:rsidRDefault="001C3BCA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1C3BCA" w:rsidRPr="00BD0E10" w14:paraId="7AF29A6C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C225F" w14:textId="5DD79F55" w:rsidR="001C3BCA" w:rsidRPr="00BD0E10" w:rsidRDefault="001C3BCA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lastRenderedPageBreak/>
              <w:t>URS-3.1.7.04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F51B5" w14:textId="3965088B" w:rsidR="001C3BCA" w:rsidRPr="00157180" w:rsidRDefault="001C3BCA" w:rsidP="00B95D61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Ścieżka audytu musi być dostępna do weryfikacji i wydruków.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E5343" w14:textId="0678282F" w:rsidR="001C3BCA" w:rsidRPr="00BD0E10" w:rsidRDefault="00157180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D0841" w14:textId="77777777" w:rsidR="001C3BCA" w:rsidRPr="00BD0E10" w:rsidRDefault="001C3BCA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9456FB" w:rsidRPr="00BD0E10" w14:paraId="65169762" w14:textId="77777777" w:rsidTr="00D71F90">
        <w:trPr>
          <w:trHeight w:val="284"/>
          <w:jc w:val="center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F5F721" w14:textId="77777777" w:rsidR="009456FB" w:rsidRPr="00BD0E10" w:rsidRDefault="009456FB" w:rsidP="003C5B18">
            <w:pPr>
              <w:snapToGrid w:val="0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3.1.8. Interfejs </w:t>
            </w:r>
            <w:r>
              <w:rPr>
                <w:rFonts w:ascii="Arial" w:hAnsi="Arial"/>
                <w:b/>
                <w:bCs/>
                <w:sz w:val="22"/>
              </w:rPr>
              <w:t>użytkownika</w:t>
            </w:r>
          </w:p>
        </w:tc>
      </w:tr>
      <w:tr w:rsidR="00D71F90" w:rsidRPr="00BD0E10" w14:paraId="15A05516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A881C" w14:textId="77777777" w:rsidR="00D71F90" w:rsidRPr="00BD0E10" w:rsidRDefault="00D71F90" w:rsidP="003C5B18">
            <w:pPr>
              <w:snapToGrid w:val="0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URS-3.1.8.01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4572A" w14:textId="6C900395" w:rsidR="00D71F90" w:rsidRPr="00BD0E10" w:rsidRDefault="00D71F90" w:rsidP="003C5B18">
            <w:pPr>
              <w:pStyle w:val="Default"/>
              <w:rPr>
                <w:noProof/>
                <w:sz w:val="22"/>
                <w:szCs w:val="22"/>
              </w:rPr>
            </w:pPr>
            <w:r>
              <w:rPr>
                <w:sz w:val="22"/>
              </w:rPr>
              <w:t>Wyświetlanie danych parametrów procesu w postaci liczbowej i/lub graficznej w celu przeglądania i ustawiania parametrów urządzeń.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0BA8D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A3997" w14:textId="77777777" w:rsidR="00D71F90" w:rsidRPr="00BD0E10" w:rsidRDefault="00D71F90" w:rsidP="003C5B18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9456FB" w:rsidRPr="00BD0E10" w14:paraId="16E490D1" w14:textId="77777777" w:rsidTr="00D71F90">
        <w:trPr>
          <w:trHeight w:val="284"/>
          <w:jc w:val="center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ECF0F4" w14:textId="6675DE6A" w:rsidR="009456FB" w:rsidRPr="00BD0E10" w:rsidRDefault="009456FB" w:rsidP="003C5B18">
            <w:pPr>
              <w:snapToGrid w:val="0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3.1.9. Dokumentacja dostawcy i </w:t>
            </w:r>
            <w:r>
              <w:rPr>
                <w:rFonts w:ascii="Arial" w:hAnsi="Arial"/>
                <w:b/>
                <w:color w:val="000000" w:themeColor="text1"/>
                <w:sz w:val="22"/>
              </w:rPr>
              <w:t>Wymagania kwalifikacyjne</w:t>
            </w:r>
          </w:p>
        </w:tc>
      </w:tr>
      <w:tr w:rsidR="005B40FB" w:rsidRPr="00BD0E10" w14:paraId="6E183EC3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1DB1F5" w14:textId="6A7792A8" w:rsidR="005B40FB" w:rsidRPr="00BD0E10" w:rsidRDefault="00157180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URS-3.1.9.01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40D1DC" w14:textId="5CCC1233" w:rsidR="005B40FB" w:rsidRPr="00BD0E10" w:rsidRDefault="005B40FB" w:rsidP="003C5B18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DOSTAWCA musi dostarczyć następujące dokumenty zgodnie z harmonogramem uzgodnionym podczas spotkania inauguracyjnego: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F8DD5" w14:textId="36AD4E1D" w:rsidR="005B40FB" w:rsidRPr="00BD0E10" w:rsidRDefault="00476792" w:rsidP="003C5B18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04F7" w14:textId="77777777" w:rsidR="005B40FB" w:rsidRPr="00BD0E10" w:rsidRDefault="005B40FB" w:rsidP="003C5B18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1E00C2" w:rsidRPr="00BD0E10" w14:paraId="1AF147A7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E16393" w14:textId="48AEDEFA" w:rsidR="001E00C2" w:rsidRPr="00BD0E10" w:rsidRDefault="00157180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URS-3.1.9.02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B5D94B" w14:textId="0128AAB9" w:rsidR="001E00C2" w:rsidRPr="00FE2B87" w:rsidRDefault="00126AFA" w:rsidP="003C5B18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Wypełniona matryca specyfikacji wymagań użytkownika wraz ze wszystkimi odchyleniami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DD263" w14:textId="77ACF54F" w:rsidR="001E00C2" w:rsidRPr="00BD0E10" w:rsidRDefault="00157180" w:rsidP="003C5B18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CE606" w14:textId="77777777" w:rsidR="001E00C2" w:rsidRPr="00BD0E10" w:rsidRDefault="001E00C2" w:rsidP="003C5B18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1E00C2" w:rsidRPr="00BD0E10" w14:paraId="2F4080B5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7EA496" w14:textId="264DB726" w:rsidR="001E00C2" w:rsidRPr="00BD0E10" w:rsidRDefault="00157180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URS-3.1.9.03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7CE99C" w14:textId="6470A125" w:rsidR="001E00C2" w:rsidRPr="00FE2B87" w:rsidRDefault="00126AFA" w:rsidP="003C5B18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Lista głównych komponentów (wraz z wymiarami i głównymi parametrami technicznymi).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AB45A" w14:textId="31597C01" w:rsidR="001E00C2" w:rsidRPr="00FE2B87" w:rsidRDefault="0006529D" w:rsidP="003C5B18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5C0C1" w14:textId="77777777" w:rsidR="001E00C2" w:rsidRPr="00BD0E10" w:rsidRDefault="001E00C2" w:rsidP="003C5B18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126AFA" w:rsidRPr="00BD0E10" w14:paraId="09815475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0A4838" w14:textId="2329545A" w:rsidR="00126AFA" w:rsidRPr="00BD0E10" w:rsidRDefault="00157180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URS-3.1.9.04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814956" w14:textId="4191BF01" w:rsidR="00126AFA" w:rsidRPr="00FE2B87" w:rsidRDefault="00126AFA" w:rsidP="003C5B18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Lista sprzętu i instrumentów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73C8A" w14:textId="50F706E2" w:rsidR="00126AFA" w:rsidRPr="00FE2B87" w:rsidRDefault="0006529D" w:rsidP="003C5B18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A3AE0" w14:textId="77777777" w:rsidR="00126AFA" w:rsidRPr="00BD0E10" w:rsidRDefault="00126AFA" w:rsidP="003C5B18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126AFA" w:rsidRPr="00BD0E10" w14:paraId="798E4CDF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1DBF69" w14:textId="26DA3213" w:rsidR="00126AFA" w:rsidRPr="00BD0E10" w:rsidRDefault="00157180" w:rsidP="003C5B18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URS-3.1.9.05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45007B" w14:textId="6327F934" w:rsidR="00126AFA" w:rsidRPr="00FE2B87" w:rsidRDefault="00126AFA" w:rsidP="003C5B18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Arkusze danych wszystkich instrumentów i urządzeń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02049" w14:textId="2FCFE1BF" w:rsidR="00126AFA" w:rsidRPr="00FE2B87" w:rsidRDefault="0006529D" w:rsidP="003C5B18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373CE" w14:textId="77777777" w:rsidR="00126AFA" w:rsidRPr="00BD0E10" w:rsidRDefault="00126AFA" w:rsidP="003C5B18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126AFA" w:rsidRPr="00BD0E10" w14:paraId="26803FE4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355F16" w14:textId="53670015" w:rsidR="00126AFA" w:rsidRPr="00BD0E10" w:rsidRDefault="00157180" w:rsidP="00126AFA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URS-3.1.9.06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8D913A" w14:textId="4DF80B7D" w:rsidR="00126AFA" w:rsidRPr="00FE2B87" w:rsidRDefault="00126AFA" w:rsidP="00126AF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P&amp;ID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94DC9" w14:textId="55142777" w:rsidR="00126AFA" w:rsidRPr="00FE2B87" w:rsidRDefault="0006529D" w:rsidP="00126AFA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A118E" w14:textId="77777777" w:rsidR="00126AFA" w:rsidRPr="00BD0E10" w:rsidRDefault="00126AFA" w:rsidP="00126AFA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126AFA" w:rsidRPr="00BD0E10" w14:paraId="38F2B626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614DCF" w14:textId="2B0ED14B" w:rsidR="00126AFA" w:rsidRPr="00BD0E10" w:rsidRDefault="00157180" w:rsidP="00126AFA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URS-3.1.9.07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F2F2DC" w14:textId="3FDD8989" w:rsidR="00126AFA" w:rsidRPr="00FE2B87" w:rsidRDefault="00126AFA" w:rsidP="00126AF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Układ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BDB16" w14:textId="013ADA39" w:rsidR="00126AFA" w:rsidRPr="00FE2B87" w:rsidRDefault="0006529D" w:rsidP="00126AFA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08388" w14:textId="77777777" w:rsidR="00126AFA" w:rsidRPr="00BD0E10" w:rsidRDefault="00126AFA" w:rsidP="00126AFA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126AFA" w:rsidRPr="00BD0E10" w14:paraId="64CD2F5C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94DB6A" w14:textId="733CFF1A" w:rsidR="00126AFA" w:rsidRPr="00BD0E10" w:rsidRDefault="00157180" w:rsidP="00126AFA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URS-3.1.9.08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B2468E" w14:textId="0A3585C3" w:rsidR="00126AFA" w:rsidRPr="00FE2B87" w:rsidRDefault="00856FB3" w:rsidP="00126AF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Lista alarmów dla alarmów GMP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96F48" w14:textId="49D275F4" w:rsidR="00126AFA" w:rsidRPr="00FE2B87" w:rsidRDefault="0006529D" w:rsidP="00126AFA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EF1C1" w14:textId="77777777" w:rsidR="00126AFA" w:rsidRPr="00BD0E10" w:rsidRDefault="00126AFA" w:rsidP="00126AFA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126AFA" w:rsidRPr="00BD0E10" w14:paraId="53DB158E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76CC55" w14:textId="3CD44A72" w:rsidR="00126AFA" w:rsidRPr="00BD0E10" w:rsidRDefault="00157180" w:rsidP="00126AFA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URS-3.1.9.09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89D8C9" w14:textId="44D5131C" w:rsidR="00126AFA" w:rsidRPr="00FE2B87" w:rsidRDefault="00856FB3" w:rsidP="00126AFA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Instrukcja obsługi i konserwacji oraz wyposażenie dodatkowe, np. PMS, mikrobiologiczny próbniki powietrza, tester rękawic.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E4CE5" w14:textId="2A03E2CA" w:rsidR="00126AFA" w:rsidRPr="00FE2B87" w:rsidRDefault="0006529D" w:rsidP="00126AFA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8B7AC" w14:textId="77777777" w:rsidR="00126AFA" w:rsidRPr="00BD0E10" w:rsidRDefault="00126AFA" w:rsidP="00126AFA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126AFA" w:rsidRPr="00BD0E10" w14:paraId="661C3A55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94630A" w14:textId="4691818A" w:rsidR="00126AFA" w:rsidRPr="00BD0E10" w:rsidRDefault="00126AFA" w:rsidP="00126AFA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URS-3.1.9.10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A84A8E" w14:textId="549F82EF" w:rsidR="00126AFA" w:rsidRPr="00BD0E10" w:rsidRDefault="00126AFA" w:rsidP="00126AFA">
            <w:pPr>
              <w:pStyle w:val="Default"/>
              <w:rPr>
                <w:noProof/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Instrukcja obsługi i konserwacji w języku angielskim i polskim.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0EDD8" w14:textId="77777777" w:rsidR="00126AFA" w:rsidRPr="00BD0E10" w:rsidRDefault="00126AFA" w:rsidP="00126AFA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395F2" w14:textId="77777777" w:rsidR="00126AFA" w:rsidRPr="00BD0E10" w:rsidRDefault="00126AFA" w:rsidP="00126AFA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6746CE" w:rsidRPr="00BD0E10" w14:paraId="22498EF1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142F87" w14:textId="4C62958F" w:rsidR="006746CE" w:rsidRPr="00BD0E10" w:rsidRDefault="00157180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URS-3.1.9.11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702077" w14:textId="79EA4B49" w:rsidR="006746CE" w:rsidRPr="00FE2B87" w:rsidRDefault="006746CE" w:rsidP="006746C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Instrukcja czyszczenia.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A4794" w14:textId="2DE06356" w:rsidR="006746CE" w:rsidRPr="00FE2B87" w:rsidRDefault="0006529D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8C425" w14:textId="77777777" w:rsidR="006746CE" w:rsidRPr="00BD0E10" w:rsidRDefault="006746CE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856FB3" w:rsidRPr="00BD0E10" w14:paraId="392E8C4D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6BABB5" w14:textId="115DB7C9" w:rsidR="00856FB3" w:rsidRPr="00BD0E10" w:rsidRDefault="00157180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URS-3.1.9.12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A6EB6A" w14:textId="006155D0" w:rsidR="00856FB3" w:rsidRPr="00FE2B87" w:rsidRDefault="00856FB3" w:rsidP="00856FB3">
            <w:pPr>
              <w:pStyle w:val="Default"/>
              <w:rPr>
                <w:noProof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Instrukcja obsługi systemu sterowania (opis, instalacja, konserwacja, schemat połączeń)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1FEE0" w14:textId="144FB030" w:rsidR="00856FB3" w:rsidRPr="00FE2B87" w:rsidRDefault="0006529D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BA827" w14:textId="77777777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856FB3" w:rsidRPr="00BD0E10" w14:paraId="50D50CAD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E833EF" w14:textId="21EB0D6E" w:rsidR="00856FB3" w:rsidRPr="00BD0E10" w:rsidRDefault="00157180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URS-3.1.9.13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1CFFB0" w14:textId="3125C6A2" w:rsidR="00856FB3" w:rsidRPr="00FE2B87" w:rsidRDefault="00856FB3" w:rsidP="00856FB3">
            <w:pPr>
              <w:pStyle w:val="Default"/>
              <w:rPr>
                <w:noProof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Lista zalecanych części zamiennych, części zużywających się wraz z nazwą DOSTAWCY i numerem artykułu DOSTAWCY.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9CEB0" w14:textId="5026E206" w:rsidR="00856FB3" w:rsidRPr="00FE2B87" w:rsidRDefault="0006529D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B2848" w14:textId="77777777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856FB3" w:rsidRPr="00BD0E10" w14:paraId="607D0E2D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41B3DF" w14:textId="5533378F" w:rsidR="00856FB3" w:rsidRPr="00BD0E10" w:rsidRDefault="00157180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URS-3.1.9.14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9E5477" w14:textId="28055A2C" w:rsidR="00856FB3" w:rsidRPr="00FE2B87" w:rsidRDefault="00856FB3" w:rsidP="00856FB3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Zużycie mediów i specyfikacja przyłącza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B4CFE" w14:textId="7EB9F00B" w:rsidR="00856FB3" w:rsidRPr="00FE2B87" w:rsidRDefault="0006529D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59E78" w14:textId="77777777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856FB3" w:rsidRPr="00BD0E10" w14:paraId="6A9DAA18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1DA359" w14:textId="30135DE8" w:rsidR="00856FB3" w:rsidRPr="00BD0E10" w:rsidRDefault="00157180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URS-3.1.9.15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1088AA" w14:textId="2D0DD148" w:rsidR="00856FB3" w:rsidRPr="00FE2B87" w:rsidRDefault="00856FB3" w:rsidP="00856FB3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Schematy elektryczne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7BAD9" w14:textId="3E3ADD78" w:rsidR="00856FB3" w:rsidRPr="00FE2B87" w:rsidRDefault="0006529D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7EF8B" w14:textId="77777777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856FB3" w:rsidRPr="00BD0E10" w14:paraId="345AFBDA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CC63A9" w14:textId="7F0F8E0D" w:rsidR="00856FB3" w:rsidRPr="00BD0E10" w:rsidRDefault="00157180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URS-3.1.9.16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1851B8" w14:textId="06227DBE" w:rsidR="00856FB3" w:rsidRPr="00FE2B87" w:rsidRDefault="00856FB3" w:rsidP="00856FB3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Schematy pneumatyczne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3B4F8" w14:textId="734F07A7" w:rsidR="00856FB3" w:rsidRPr="00FE2B87" w:rsidRDefault="0006529D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25F9D" w14:textId="77777777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856FB3" w:rsidRPr="00BD0E10" w14:paraId="1B2C312F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ED0D71" w14:textId="33BA205F" w:rsidR="00856FB3" w:rsidRPr="00BD0E10" w:rsidRDefault="00157180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URS-3.1.9.17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297A8C" w14:textId="743E998B" w:rsidR="00856FB3" w:rsidRPr="00FE2B87" w:rsidRDefault="00856FB3" w:rsidP="00856FB3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Dane dotyczące generowania hałasu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262C" w14:textId="39E58150" w:rsidR="00856FB3" w:rsidRPr="00FE2B87" w:rsidRDefault="0006529D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8539A" w14:textId="77777777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856FB3" w:rsidRPr="00BD0E10" w14:paraId="4104A885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A5D0C4" w14:textId="5E5F5C32" w:rsidR="00856FB3" w:rsidRPr="00BD0E10" w:rsidRDefault="00157180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URS-3.1.9.18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46CBE3" w14:textId="0AAA90FA" w:rsidR="00856FB3" w:rsidRPr="0006529D" w:rsidRDefault="00856FB3" w:rsidP="00856FB3">
            <w:pPr>
              <w:pStyle w:val="Default"/>
              <w:rPr>
                <w:color w:val="00B05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Certyfikaty materiałowe (dotyczące części mających kontakt z produktem i elementów opakowania pierwotnego)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8B7C0" w14:textId="349EA644" w:rsidR="00856FB3" w:rsidRPr="00BD0E10" w:rsidRDefault="0006529D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E3D5A" w14:textId="77777777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DE27C6" w:rsidRPr="00BD0E10" w14:paraId="03E8193E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D787AE" w14:textId="795328AF" w:rsidR="00DE27C6" w:rsidRPr="00BD0E10" w:rsidRDefault="00157180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URS-3.1.9.19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7CE564" w14:textId="7A1D123F" w:rsidR="00DE27C6" w:rsidRPr="0006529D" w:rsidRDefault="00DE27C6" w:rsidP="00856FB3">
            <w:pPr>
              <w:pStyle w:val="Default"/>
              <w:rPr>
                <w:color w:val="00B05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Raport z badania chropowatości (dla części mających kontakt z produktem i części opakowania pierwotnego)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91C9A" w14:textId="455D4E21" w:rsidR="00DE27C6" w:rsidRPr="00BD0E10" w:rsidRDefault="0006529D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AE961" w14:textId="77777777" w:rsidR="00DE27C6" w:rsidRPr="00BD0E10" w:rsidRDefault="00DE27C6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DE27C6" w:rsidRPr="00BD0E10" w14:paraId="7B1BF138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63B49F" w14:textId="2F1ED786" w:rsidR="00DE27C6" w:rsidRPr="00BD0E10" w:rsidRDefault="00157180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URS-3.1.9.20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152AA1" w14:textId="23A9D6DB" w:rsidR="00DE27C6" w:rsidRPr="0006529D" w:rsidRDefault="00DE27C6" w:rsidP="00856FB3">
            <w:pPr>
              <w:pStyle w:val="Default"/>
              <w:rPr>
                <w:color w:val="00B05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Procedury kalibracji przyrządów pomiarowych maszyn i certyfikaty kalibracji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12780" w14:textId="278B1025" w:rsidR="00DE27C6" w:rsidRPr="00BD0E10" w:rsidRDefault="0006529D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51825" w14:textId="77777777" w:rsidR="00DE27C6" w:rsidRPr="00BD0E10" w:rsidRDefault="00DE27C6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856FB3" w:rsidRPr="00BD0E10" w14:paraId="200EAFFC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F6AB6A" w14:textId="54364E4B" w:rsidR="00856FB3" w:rsidRPr="00BD0E10" w:rsidRDefault="00856FB3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URS-3.1.9.21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1AE7DD" w14:textId="17475D0C" w:rsidR="00856FB3" w:rsidRPr="0006529D" w:rsidRDefault="00DE27C6" w:rsidP="00856FB3">
            <w:pPr>
              <w:pStyle w:val="Default"/>
              <w:rPr>
                <w:noProof/>
                <w:color w:val="00B05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Certyfikaty instrumentów i materiałów (np. rękawiczki, filtry HEPA używane podczas testów FAT / SAT) używanych podczas testów kwalifikacyjnych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DC168" w14:textId="0E8258E9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45E34" w14:textId="77777777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856FB3" w:rsidRPr="00BD0E10" w14:paraId="0533CD5F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8207C6" w14:textId="56671063" w:rsidR="00856FB3" w:rsidRPr="00BD0E10" w:rsidRDefault="00856FB3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URS-3.1.9.22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711DBC" w14:textId="202F066C" w:rsidR="00856FB3" w:rsidRPr="0006529D" w:rsidRDefault="00856FB3" w:rsidP="00856FB3">
            <w:pPr>
              <w:pStyle w:val="Default"/>
              <w:rPr>
                <w:noProof/>
                <w:color w:val="00B05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Certyfikaty kalibracji urządzeń kalibracyjnych.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E70DD" w14:textId="77777777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DAA87" w14:textId="77777777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DE27C6" w:rsidRPr="00BD0E10" w14:paraId="214482F2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965F7A" w14:textId="0AB062FE" w:rsidR="00DE27C6" w:rsidRPr="00BD0E10" w:rsidRDefault="00157180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URS-3.1.9.23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D9C707" w14:textId="58D8BC72" w:rsidR="00DE27C6" w:rsidRPr="001008A3" w:rsidRDefault="00DE27C6" w:rsidP="00856FB3">
            <w:pPr>
              <w:pStyle w:val="Default"/>
              <w:rPr>
                <w:noProof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Certyfikat zgodności materiałów uszczelniających z wymogami FDA (dla części mających kontakt z produktem i elementów opakowania pierwotnego)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52D30" w14:textId="1CF73236" w:rsidR="00DE27C6" w:rsidRPr="001008A3" w:rsidRDefault="0006529D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35585" w14:textId="77777777" w:rsidR="00DE27C6" w:rsidRPr="00BD0E10" w:rsidRDefault="00DE27C6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DE27C6" w:rsidRPr="00BD0E10" w14:paraId="37A5ADDD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7365EB" w14:textId="2849BB6D" w:rsidR="00DE27C6" w:rsidRPr="00BD0E10" w:rsidRDefault="00157180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URS-3.1.9.24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19E859" w14:textId="2E03A828" w:rsidR="00DE27C6" w:rsidRPr="0006529D" w:rsidRDefault="00DE27C6" w:rsidP="00856FB3">
            <w:pPr>
              <w:pStyle w:val="Default"/>
              <w:rPr>
                <w:noProof/>
                <w:color w:val="00B05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Lista wejść/wyjść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38176" w14:textId="027A1F9E" w:rsidR="00DE27C6" w:rsidRPr="00BD0E10" w:rsidRDefault="001008A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A719F" w14:textId="77777777" w:rsidR="00DE27C6" w:rsidRPr="00BD0E10" w:rsidRDefault="00DE27C6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856FB3" w:rsidRPr="00BD0E10" w14:paraId="78995C50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5A5E33" w14:textId="617A9BB4" w:rsidR="00856FB3" w:rsidRPr="00BD0E10" w:rsidRDefault="00856FB3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URS-3.1.9.25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DC9635" w14:textId="6FEC6BBA" w:rsidR="00856FB3" w:rsidRPr="00BD0E10" w:rsidRDefault="00856FB3" w:rsidP="00856FB3">
            <w:pPr>
              <w:pStyle w:val="Default"/>
              <w:rPr>
                <w:noProof/>
                <w:color w:val="FF0000"/>
                <w:sz w:val="22"/>
                <w:szCs w:val="22"/>
              </w:rPr>
            </w:pPr>
            <w:r>
              <w:rPr>
                <w:sz w:val="22"/>
              </w:rPr>
              <w:t>Przewodnik dotyczący rozwiązywania problemów.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B3444" w14:textId="54A52EFC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8AB1D" w14:textId="77777777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856FB3" w:rsidRPr="00BD0E10" w14:paraId="7DA2710A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774EAB" w14:textId="20A55647" w:rsidR="00856FB3" w:rsidRPr="00BD0E10" w:rsidRDefault="00856FB3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URS-3.1.9.26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11B549" w14:textId="1ACAC2D5" w:rsidR="00856FB3" w:rsidRPr="00BD0E10" w:rsidRDefault="00856FB3" w:rsidP="00856FB3">
            <w:pPr>
              <w:pStyle w:val="Default"/>
              <w:rPr>
                <w:noProof/>
                <w:color w:val="FF0000"/>
                <w:sz w:val="22"/>
                <w:szCs w:val="22"/>
              </w:rPr>
            </w:pPr>
            <w:r>
              <w:rPr>
                <w:color w:val="auto"/>
                <w:sz w:val="22"/>
              </w:rPr>
              <w:t>Specyfikacja funkcjonalna projektu (FDS)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49014" w14:textId="3AB8CB89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0F34C" w14:textId="77777777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856FB3" w:rsidRPr="00BD0E10" w14:paraId="4D408A7E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5BD782F1" w14:textId="15E1A355" w:rsidR="00856FB3" w:rsidRPr="00BD0E10" w:rsidRDefault="00856FB3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URS-3.1.9.27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C7508F" w14:textId="26CCEB38" w:rsidR="00856FB3" w:rsidRPr="00BD0E10" w:rsidRDefault="00856FB3" w:rsidP="00856FB3">
            <w:pPr>
              <w:pStyle w:val="Default"/>
              <w:rPr>
                <w:noProof/>
                <w:color w:val="FF0000"/>
                <w:sz w:val="22"/>
                <w:szCs w:val="22"/>
              </w:rPr>
            </w:pPr>
            <w:r>
              <w:rPr>
                <w:color w:val="auto"/>
                <w:sz w:val="22"/>
              </w:rPr>
              <w:t>Specyfikacja projektu sprzętu (HDS)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A6532" w14:textId="653CB966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B66B9" w14:textId="77777777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856FB3" w:rsidRPr="00BD0E10" w14:paraId="0D41AE24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400DE1F6" w14:textId="7F3895F6" w:rsidR="00856FB3" w:rsidRPr="00BD0E10" w:rsidRDefault="00856FB3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URS-3.1.9.28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A27135" w14:textId="0D0398D7" w:rsidR="00856FB3" w:rsidRPr="00BD0E10" w:rsidRDefault="00856FB3" w:rsidP="00856FB3">
            <w:pPr>
              <w:pStyle w:val="Default"/>
              <w:rPr>
                <w:noProof/>
                <w:color w:val="FF0000"/>
                <w:sz w:val="22"/>
                <w:szCs w:val="22"/>
              </w:rPr>
            </w:pPr>
            <w:r>
              <w:rPr>
                <w:color w:val="auto"/>
                <w:sz w:val="22"/>
              </w:rPr>
              <w:t>Specyfikacja projektu oprogramowania (SDS)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DEC19" w14:textId="690FCF4E" w:rsidR="00856FB3" w:rsidRPr="00BD0E10" w:rsidRDefault="0006529D" w:rsidP="0006529D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B2044" w14:textId="77777777" w:rsidR="00856FB3" w:rsidRPr="00BD0E10" w:rsidRDefault="00856FB3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084B3C" w:rsidRPr="00BD0E10" w14:paraId="01C336DA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7FD516DF" w14:textId="46D6F925" w:rsidR="00084B3C" w:rsidRPr="00BD0E10" w:rsidRDefault="00157180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URS-3.1.9.29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DB55BC" w14:textId="3CCD86B3" w:rsidR="00084B3C" w:rsidRPr="001008A3" w:rsidRDefault="00084B3C" w:rsidP="00856FB3">
            <w:pPr>
              <w:pStyle w:val="Default"/>
              <w:rPr>
                <w:noProof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Certyfikat walidacji oprogramowania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4D659" w14:textId="3E70FB92" w:rsidR="00084B3C" w:rsidRPr="001008A3" w:rsidRDefault="0006529D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0185C" w14:textId="77777777" w:rsidR="00084B3C" w:rsidRPr="00BD0E10" w:rsidRDefault="00084B3C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084B3C" w:rsidRPr="00BD0E10" w14:paraId="20D52FAB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4D177DCE" w14:textId="0910E9E7" w:rsidR="00084B3C" w:rsidRPr="00BD0E10" w:rsidRDefault="00157180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URS-3.1.9.30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422EDD" w14:textId="01B8C480" w:rsidR="00084B3C" w:rsidRPr="001008A3" w:rsidRDefault="00084B3C" w:rsidP="00856FB3">
            <w:pPr>
              <w:pStyle w:val="Default"/>
              <w:rPr>
                <w:noProof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Tworzenie kopii zapasowej (odzyskiwanie danych po awarii)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CA4C3" w14:textId="0F6FD580" w:rsidR="00084B3C" w:rsidRPr="001008A3" w:rsidRDefault="0006529D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98376" w14:textId="77777777" w:rsidR="00084B3C" w:rsidRPr="00BD0E10" w:rsidRDefault="00084B3C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084B3C" w:rsidRPr="00BD0E10" w14:paraId="40474752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63793204" w14:textId="55676F68" w:rsidR="00084B3C" w:rsidRPr="00BD0E10" w:rsidRDefault="00157180" w:rsidP="00856FB3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URS-3.1.9.31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80A995" w14:textId="472C2720" w:rsidR="00084B3C" w:rsidRPr="001008A3" w:rsidRDefault="00084B3C" w:rsidP="00856FB3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Licencje na oprogramowanie (w tym zgodność z 21 CFR PART 11, zgodnie z oświadczeniem DOSTAWCÓW)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682B5" w14:textId="505E5196" w:rsidR="00084B3C" w:rsidRPr="001008A3" w:rsidRDefault="0006529D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141D3" w14:textId="77777777" w:rsidR="00084B3C" w:rsidRPr="00BD0E10" w:rsidRDefault="00084B3C" w:rsidP="00856FB3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084B3C" w:rsidRPr="00BD0E10" w14:paraId="263C23AC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2273CF95" w14:textId="40B6D602" w:rsidR="00084B3C" w:rsidRPr="00BD0E10" w:rsidRDefault="00157180" w:rsidP="00084B3C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URS-3.1.9.32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EF5C3F" w14:textId="30ACD479" w:rsidR="00084B3C" w:rsidRPr="001008A3" w:rsidRDefault="00084B3C" w:rsidP="00084B3C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Protokół FAT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2C3EA" w14:textId="4D6CC946" w:rsidR="00084B3C" w:rsidRPr="001008A3" w:rsidRDefault="0006529D" w:rsidP="00084B3C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2B87B" w14:textId="77777777" w:rsidR="00084B3C" w:rsidRPr="00BD0E10" w:rsidRDefault="00084B3C" w:rsidP="00084B3C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084B3C" w:rsidRPr="00BD0E10" w14:paraId="3B8F96F1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7A6E2AEE" w14:textId="73163858" w:rsidR="00084B3C" w:rsidRPr="00BD0E10" w:rsidRDefault="00157180" w:rsidP="00084B3C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URS-3.1.9.33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71D38F" w14:textId="0BE1FB67" w:rsidR="00084B3C" w:rsidRPr="001008A3" w:rsidRDefault="00084B3C" w:rsidP="00084B3C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Analiza ryzyka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E12C0" w14:textId="61725DD7" w:rsidR="00084B3C" w:rsidRPr="001008A3" w:rsidRDefault="0006529D" w:rsidP="00084B3C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24F0F" w14:textId="77777777" w:rsidR="00084B3C" w:rsidRPr="00BD0E10" w:rsidRDefault="00084B3C" w:rsidP="00084B3C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084B3C" w:rsidRPr="00BD0E10" w14:paraId="61FE5251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63645820" w14:textId="23A08535" w:rsidR="00084B3C" w:rsidRPr="00BD0E10" w:rsidRDefault="00157180" w:rsidP="00084B3C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URS-3.1.9.34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95AD80" w14:textId="7776666C" w:rsidR="00084B3C" w:rsidRPr="001008A3" w:rsidRDefault="00084B3C" w:rsidP="00084B3C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Kwalifikacja projektu wraz z protokołem i raportem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DD43A" w14:textId="7B86F205" w:rsidR="00084B3C" w:rsidRPr="001008A3" w:rsidRDefault="0006529D" w:rsidP="00084B3C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38EE8" w14:textId="77777777" w:rsidR="00084B3C" w:rsidRPr="00BD0E10" w:rsidRDefault="00084B3C" w:rsidP="00084B3C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6746CE" w:rsidRPr="00BD0E10" w14:paraId="6ADEE6BF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386308C2" w14:textId="17F10BD3" w:rsidR="006746CE" w:rsidRPr="00BD0E10" w:rsidRDefault="0006529D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URS-3.1.9.35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53D36B" w14:textId="22EDD8A1" w:rsidR="006746CE" w:rsidRPr="001008A3" w:rsidRDefault="006746CE" w:rsidP="006746CE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Protokół kwalifikacji instalacji / SAT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27AA7" w14:textId="0454DF88" w:rsidR="006746CE" w:rsidRPr="001008A3" w:rsidRDefault="00694FE6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816C8" w14:textId="77777777" w:rsidR="006746CE" w:rsidRPr="00BD0E10" w:rsidRDefault="006746CE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6746CE" w:rsidRPr="00BD0E10" w14:paraId="297A70CF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66022DFE" w14:textId="02F4FD7C" w:rsidR="006746CE" w:rsidRPr="00BD0E10" w:rsidRDefault="00694FE6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URS-3.1.9.36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AB59E3" w14:textId="25DBB05C" w:rsidR="006746CE" w:rsidRPr="001008A3" w:rsidRDefault="006746CE" w:rsidP="00571E6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Raport kwalifikacji instalacji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459E4" w14:textId="4710279E" w:rsidR="006746CE" w:rsidRPr="001008A3" w:rsidRDefault="00694FE6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96668" w14:textId="77777777" w:rsidR="006746CE" w:rsidRPr="00BD0E10" w:rsidRDefault="006746CE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6746CE" w:rsidRPr="00BD0E10" w14:paraId="3EC70C67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768A515C" w14:textId="541E69A6" w:rsidR="006746CE" w:rsidRPr="00BD0E10" w:rsidRDefault="00694FE6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URS-3.1.9.37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AC2216" w14:textId="77777777" w:rsidR="006746CE" w:rsidRPr="001008A3" w:rsidRDefault="006746CE" w:rsidP="006746C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Protokół kwalifikacji operacyjnej</w:t>
            </w:r>
          </w:p>
          <w:p w14:paraId="33601B34" w14:textId="77777777" w:rsidR="006746CE" w:rsidRPr="001008A3" w:rsidRDefault="006746CE" w:rsidP="006746C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05935" w14:textId="51CCAF9D" w:rsidR="006746CE" w:rsidRPr="001008A3" w:rsidRDefault="00694FE6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B0C62" w14:textId="77777777" w:rsidR="006746CE" w:rsidRPr="00BD0E10" w:rsidRDefault="006746CE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6746CE" w:rsidRPr="00BD0E10" w14:paraId="75E991BB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46241956" w14:textId="10BF6E04" w:rsidR="006746CE" w:rsidRPr="00BD0E10" w:rsidRDefault="00694FE6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URS-3.1.9.38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A4A465" w14:textId="77777777" w:rsidR="006746CE" w:rsidRPr="001008A3" w:rsidRDefault="006746CE" w:rsidP="006746C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Raport kwalifikacji operacyjnej</w:t>
            </w:r>
          </w:p>
          <w:p w14:paraId="71ECD381" w14:textId="77777777" w:rsidR="006746CE" w:rsidRPr="001008A3" w:rsidRDefault="006746CE" w:rsidP="006746C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ADED8" w14:textId="347A045C" w:rsidR="006746CE" w:rsidRPr="001008A3" w:rsidRDefault="00694FE6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3DC5B" w14:textId="77777777" w:rsidR="006746CE" w:rsidRPr="00BD0E10" w:rsidRDefault="006746CE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6746CE" w:rsidRPr="00BD0E10" w14:paraId="6F823028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7799D083" w14:textId="7BB53E34" w:rsidR="006746CE" w:rsidRPr="00BD0E10" w:rsidRDefault="00694FE6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URS-3.1.9.39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7E649E" w14:textId="77777777" w:rsidR="006746CE" w:rsidRPr="001008A3" w:rsidRDefault="006746CE" w:rsidP="006746CE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Plan jakości dostarczony przez dostawcę powinien obejmować co najmniej: </w:t>
            </w:r>
          </w:p>
          <w:p w14:paraId="0F73E8FA" w14:textId="68179014" w:rsidR="006746CE" w:rsidRPr="001008A3" w:rsidRDefault="001008A3" w:rsidP="006746CE">
            <w:pPr>
              <w:pStyle w:val="Akapitzlist"/>
              <w:numPr>
                <w:ilvl w:val="0"/>
                <w:numId w:val="18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Krótki opis systemu zarządzania jakością (QMS); </w:t>
            </w:r>
          </w:p>
          <w:p w14:paraId="09FA9A88" w14:textId="5DE953AA" w:rsidR="006746CE" w:rsidRPr="001008A3" w:rsidRDefault="001008A3" w:rsidP="006746CE">
            <w:pPr>
              <w:pStyle w:val="Akapitzlist"/>
              <w:numPr>
                <w:ilvl w:val="0"/>
                <w:numId w:val="18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Zadania i obowiązki; </w:t>
            </w:r>
          </w:p>
          <w:p w14:paraId="488F98CA" w14:textId="14708A88" w:rsidR="006746CE" w:rsidRPr="001008A3" w:rsidRDefault="001008A3" w:rsidP="006746CE">
            <w:pPr>
              <w:pStyle w:val="Akapitzlist"/>
              <w:numPr>
                <w:ilvl w:val="0"/>
                <w:numId w:val="18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Polityka walidacji; </w:t>
            </w:r>
          </w:p>
          <w:p w14:paraId="5232D111" w14:textId="79B97321" w:rsidR="006746CE" w:rsidRPr="001008A3" w:rsidRDefault="001008A3" w:rsidP="006746CE">
            <w:pPr>
              <w:pStyle w:val="Akapitzlist"/>
              <w:numPr>
                <w:ilvl w:val="0"/>
                <w:numId w:val="18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Zarządzanie dokumentacją; </w:t>
            </w:r>
          </w:p>
          <w:p w14:paraId="2DA31FC9" w14:textId="5A82B3CB" w:rsidR="006746CE" w:rsidRPr="001008A3" w:rsidRDefault="006746CE" w:rsidP="006746CE">
            <w:pPr>
              <w:pStyle w:val="Akapitzlist"/>
              <w:numPr>
                <w:ilvl w:val="0"/>
                <w:numId w:val="18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Zarządzanie zmianą; </w:t>
            </w:r>
          </w:p>
          <w:p w14:paraId="2E2722EB" w14:textId="2E7353D5" w:rsidR="006746CE" w:rsidRPr="001008A3" w:rsidRDefault="006746CE" w:rsidP="006746CE">
            <w:pPr>
              <w:pStyle w:val="Akapitzlist"/>
              <w:numPr>
                <w:ilvl w:val="0"/>
                <w:numId w:val="18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Zarządzanie odchyleniami;</w:t>
            </w:r>
          </w:p>
          <w:p w14:paraId="62E12162" w14:textId="5F348149" w:rsidR="006746CE" w:rsidRPr="001008A3" w:rsidRDefault="006746CE" w:rsidP="006746CE">
            <w:pPr>
              <w:pStyle w:val="Akapitzlist"/>
              <w:numPr>
                <w:ilvl w:val="0"/>
                <w:numId w:val="18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Wyniki.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A86BD" w14:textId="48060D98" w:rsidR="006746CE" w:rsidRPr="001008A3" w:rsidRDefault="00694FE6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FEE36" w14:textId="77777777" w:rsidR="006746CE" w:rsidRPr="00BD0E10" w:rsidRDefault="006746CE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6746CE" w:rsidRPr="00BD0E10" w14:paraId="0D6CF2F5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0696758B" w14:textId="49725F08" w:rsidR="006746CE" w:rsidRPr="00BD0E10" w:rsidRDefault="00694FE6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URS-3.1.9.40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281BA1" w14:textId="70A75F24" w:rsidR="006746CE" w:rsidRPr="001008A3" w:rsidRDefault="00881FE2" w:rsidP="006746CE">
            <w:pPr>
              <w:pStyle w:val="Default"/>
              <w:rPr>
                <w:strike/>
                <w:noProof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Deklaracja zgodności dla wszystkich mających zastosowanie dyrektyw dotyczących oznakowania CE.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8C9EC" w14:textId="2B4467B2" w:rsidR="006746CE" w:rsidRPr="001008A3" w:rsidRDefault="00694FE6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76C28" w14:textId="77777777" w:rsidR="006746CE" w:rsidRPr="00BD0E10" w:rsidRDefault="006746CE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6746CE" w:rsidRPr="00BD0E10" w14:paraId="31F934AA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6F18C471" w14:textId="5FD6143D" w:rsidR="006746CE" w:rsidRPr="00BD0E10" w:rsidRDefault="00694FE6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URS-3.1.9.41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351DA3" w14:textId="1CB1613E" w:rsidR="006746CE" w:rsidRPr="001008A3" w:rsidRDefault="00EF6763" w:rsidP="00FB4E43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Dokumenty należy dostarczyć w formie papierowej (z datą i podpisem) oraz w formie elektronicznej.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EAFFD" w14:textId="7A4AEB95" w:rsidR="006746CE" w:rsidRPr="001008A3" w:rsidRDefault="00694FE6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2321C" w14:textId="77777777" w:rsidR="006746CE" w:rsidRPr="00BD0E10" w:rsidRDefault="006746CE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EF6763" w:rsidRPr="00BD0E10" w14:paraId="78FE1AC1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36D3CFEA" w14:textId="0CA4787A" w:rsidR="00EF6763" w:rsidRPr="00BD0E10" w:rsidRDefault="00694FE6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URS-3.1.9.42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DC0CD6" w14:textId="0F3E76AC" w:rsidR="00EF6763" w:rsidRPr="001008A3" w:rsidRDefault="00EF6763" w:rsidP="006746CE">
            <w:pPr>
              <w:pStyle w:val="Default"/>
              <w:rPr>
                <w:strike/>
                <w:noProof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Ważna oferta wraz z opisem wyposażenia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55CDC" w14:textId="273C9DC1" w:rsidR="00EF6763" w:rsidRPr="001008A3" w:rsidRDefault="00694FE6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84C25" w14:textId="77777777" w:rsidR="00EF6763" w:rsidRPr="00BD0E10" w:rsidRDefault="00EF6763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694FE6" w:rsidRPr="00BD0E10" w14:paraId="69725F57" w14:textId="77777777" w:rsidTr="00262429">
        <w:trPr>
          <w:trHeight w:val="284"/>
          <w:jc w:val="center"/>
        </w:trPr>
        <w:tc>
          <w:tcPr>
            <w:tcW w:w="9634" w:type="dxa"/>
            <w:gridSpan w:val="4"/>
            <w:tcBorders>
              <w:left w:val="single" w:sz="4" w:space="0" w:color="00000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BFBFBF" w:themeFill="background1" w:themeFillShade="BF"/>
          </w:tcPr>
          <w:p w14:paraId="724202CD" w14:textId="43BA3A0F" w:rsidR="00694FE6" w:rsidRPr="00694FE6" w:rsidRDefault="00694FE6" w:rsidP="006746CE">
            <w:pPr>
              <w:snapToGrid w:val="0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Test akceptacyjny fabryczny – FAT</w:t>
            </w:r>
          </w:p>
        </w:tc>
      </w:tr>
      <w:tr w:rsidR="007A29A7" w:rsidRPr="00BD0E10" w14:paraId="0261FCA7" w14:textId="77777777" w:rsidTr="00694FE6">
        <w:trPr>
          <w:trHeight w:val="284"/>
          <w:jc w:val="center"/>
        </w:trPr>
        <w:tc>
          <w:tcPr>
            <w:tcW w:w="1867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000000"/>
            </w:tcBorders>
          </w:tcPr>
          <w:p w14:paraId="145A8BB4" w14:textId="45C229DB" w:rsidR="007A29A7" w:rsidRPr="00BD0E10" w:rsidRDefault="00694FE6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URS-3.1.9.43</w:t>
            </w:r>
          </w:p>
        </w:tc>
        <w:tc>
          <w:tcPr>
            <w:tcW w:w="5074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000000"/>
            </w:tcBorders>
            <w:vAlign w:val="center"/>
          </w:tcPr>
          <w:p w14:paraId="693BE662" w14:textId="77777777" w:rsidR="007A29A7" w:rsidRPr="001008A3" w:rsidRDefault="007A29A7" w:rsidP="007A29A7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FAT będzie postępować zgodnie z </w:t>
            </w:r>
          </w:p>
          <w:p w14:paraId="00E938DD" w14:textId="77777777" w:rsidR="007A29A7" w:rsidRPr="001008A3" w:rsidRDefault="007A29A7" w:rsidP="007A29A7">
            <w:pPr>
              <w:pStyle w:val="Akapitzlist"/>
              <w:numPr>
                <w:ilvl w:val="0"/>
                <w:numId w:val="20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Celem FAT jest kontrola pracy i testy funkcjonalne skonstruowanego sprzętu.</w:t>
            </w:r>
          </w:p>
          <w:p w14:paraId="4A1A375D" w14:textId="77777777" w:rsidR="007A29A7" w:rsidRPr="001008A3" w:rsidRDefault="007A29A7" w:rsidP="007A29A7">
            <w:pPr>
              <w:pStyle w:val="Akapitzlist"/>
              <w:numPr>
                <w:ilvl w:val="0"/>
                <w:numId w:val="20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DOSTAWCA przygotuje plan testów, który musi zawierać szczegółowy wykaz testów FAT.</w:t>
            </w:r>
          </w:p>
          <w:p w14:paraId="2D60E00D" w14:textId="38A4DEE0" w:rsidR="007A29A7" w:rsidRPr="001008A3" w:rsidRDefault="007A29A7" w:rsidP="007A29A7">
            <w:pPr>
              <w:pStyle w:val="Akapitzlist"/>
              <w:numPr>
                <w:ilvl w:val="0"/>
                <w:numId w:val="20"/>
              </w:numPr>
              <w:ind w:left="50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Kontrola pracy i testy funkcjonalne wyprodukowanego sprzętu (testy odbiorcze w fabryce – FAT) zostaną przeprowadzone w siedzibie DOSTAWCY przez DOSTAWCĘ i przedstawicieli KLIENTA. DOSTAWCA jest odpowiedzialny za przeprowadzenie FAT zgodnie z harmonogramem.  </w:t>
            </w:r>
          </w:p>
          <w:p w14:paraId="70AE2233" w14:textId="56C2C0E2" w:rsidR="007A29A7" w:rsidRPr="00694FE6" w:rsidRDefault="007A29A7" w:rsidP="006746CE">
            <w:pPr>
              <w:pStyle w:val="Akapitzlist"/>
              <w:numPr>
                <w:ilvl w:val="0"/>
                <w:numId w:val="20"/>
              </w:numPr>
              <w:ind w:left="504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Podczas FAT brana będzie pod uwagę nie tylko wydajność linii, ale także jakość procesu napełniania.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2E600" w14:textId="086E7339" w:rsidR="007A29A7" w:rsidRPr="00BD0E10" w:rsidRDefault="00694FE6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E885B" w14:textId="77777777" w:rsidR="007A29A7" w:rsidRPr="00BD0E10" w:rsidRDefault="007A29A7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7A29A7" w:rsidRPr="00BD0E10" w14:paraId="0BFFD28E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4E96AB1D" w14:textId="6BCE41EE" w:rsidR="007A29A7" w:rsidRPr="00BD0E10" w:rsidRDefault="00694FE6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URS-3.1.9.44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2F690E" w14:textId="500AF62B" w:rsidR="007A29A7" w:rsidRPr="00694FE6" w:rsidRDefault="007A29A7" w:rsidP="006746CE">
            <w:pPr>
              <w:pStyle w:val="Default"/>
              <w:rPr>
                <w:strike/>
                <w:noProof/>
                <w:color w:val="00B05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DOSTAWCA sporządzi również raport po zakończeniu FAT i zobowiązuje się do usunięcia wszelkich odchyleń stwierdzonych podczas przeprowadzania FAT. Pozytywny wynik testu FAT jest warunkiem koniecznym do wydania dostawy.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DF8AF" w14:textId="10471260" w:rsidR="007A29A7" w:rsidRPr="00BD0E10" w:rsidRDefault="00694FE6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A06B4" w14:textId="77777777" w:rsidR="007A29A7" w:rsidRPr="00BD0E10" w:rsidRDefault="007A29A7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7A29A7" w:rsidRPr="00BD0E10" w14:paraId="26896F90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54791D0D" w14:textId="44C5DAE4" w:rsidR="007A29A7" w:rsidRPr="00BD0E10" w:rsidRDefault="00694FE6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URS-3.1.9.45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5C6466" w14:textId="74DE6355" w:rsidR="007A29A7" w:rsidRPr="00694FE6" w:rsidRDefault="007A29A7" w:rsidP="006746CE">
            <w:pPr>
              <w:pStyle w:val="Default"/>
              <w:rPr>
                <w:color w:val="00B05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DOSTAWCA przedstawi plan testów, który zostanie zweryfikowany (w razie potrzeby zmodyfikowany) i zatwierdzony przez KLIENTA, a następnie ponownie przekazany DOSTAWCY przed wykonaniem FAT.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6D62" w14:textId="119896FD" w:rsidR="007A29A7" w:rsidRPr="00BD0E10" w:rsidRDefault="00694FE6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4F149" w14:textId="77777777" w:rsidR="007A29A7" w:rsidRPr="00BD0E10" w:rsidRDefault="007A29A7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7A29A7" w:rsidRPr="00BD0E10" w14:paraId="413216EA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5DCC4622" w14:textId="46F1F5CB" w:rsidR="007A29A7" w:rsidRPr="00BD0E10" w:rsidRDefault="00694FE6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URS-3.1.9.46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AB62BE" w14:textId="0391A7F7" w:rsidR="007A29A7" w:rsidRPr="00694FE6" w:rsidRDefault="007A29A7" w:rsidP="006746CE">
            <w:pPr>
              <w:pStyle w:val="Default"/>
              <w:rPr>
                <w:color w:val="00B05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Wszelkie koszty spowodowane przedłużeniem FAT z powodu niepowodzenia testu (testów) pokrywa DOSTAWCA.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7C513" w14:textId="16165803" w:rsidR="007A29A7" w:rsidRPr="00BD0E10" w:rsidRDefault="00694FE6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050A1" w14:textId="77777777" w:rsidR="007A29A7" w:rsidRPr="00BD0E10" w:rsidRDefault="007A29A7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7A29A7" w:rsidRPr="00BD0E10" w14:paraId="44B9A7D0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053136CA" w14:textId="1A6A4BA4" w:rsidR="007A29A7" w:rsidRPr="00BD0E10" w:rsidRDefault="00694FE6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URS-3.1.9.47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0F949C" w14:textId="27552D47" w:rsidR="007A29A7" w:rsidRPr="00E800BF" w:rsidRDefault="005A3746" w:rsidP="006746CE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Szczegółowa lista wszystkich testów FAT zostanie zatwierdzona jako część planu FAT. Należy wykonać co najmniej godzinny bieg dla 4R.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50B7A" w14:textId="723B2216" w:rsidR="007A29A7" w:rsidRPr="00BD0E10" w:rsidRDefault="00694FE6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602E3" w14:textId="77777777" w:rsidR="007A29A7" w:rsidRPr="00BD0E10" w:rsidRDefault="007A29A7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5A3746" w:rsidRPr="00BD0E10" w14:paraId="7656B43D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5807F251" w14:textId="2E7847E9" w:rsidR="005A3746" w:rsidRPr="00BD0E10" w:rsidRDefault="00694FE6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URS-3.1.9.48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E7FA99" w14:textId="774D8669" w:rsidR="005A3746" w:rsidRPr="001008A3" w:rsidRDefault="005A3746" w:rsidP="006746CE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Przed rozpoczęciem testów i w trakcie ich trwania należy sprawdzić wszystkie przełączniki sterujące, alarmy, blokady bezpieczeństwa i wszystkie przyrządy. Przed rozpoczęciem badań przyrządy należy skalibrować.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58C03" w14:textId="4B9F623B" w:rsidR="005A3746" w:rsidRPr="00BD0E10" w:rsidRDefault="00694FE6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90D0E" w14:textId="77777777" w:rsidR="005A3746" w:rsidRPr="00BD0E10" w:rsidRDefault="005A3746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5A3746" w:rsidRPr="00BD0E10" w14:paraId="6D161A96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3AEC23B7" w14:textId="345AAFC8" w:rsidR="005A3746" w:rsidRPr="00BD0E10" w:rsidRDefault="00694FE6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URS-3.1.9.49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2307D0" w14:textId="59E9CBA1" w:rsidR="005A3746" w:rsidRPr="001008A3" w:rsidRDefault="005A3746" w:rsidP="006746CE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 xml:space="preserve">DOSTAWCA sporządzi również raport po zakończeniu FAT i zobowiązuje się do usunięcia wszelkich odchyleń stwierdzonych podczas </w:t>
            </w:r>
            <w:r>
              <w:rPr>
                <w:color w:val="000000" w:themeColor="text1"/>
                <w:sz w:val="22"/>
              </w:rPr>
              <w:lastRenderedPageBreak/>
              <w:t>przeprowadzania FAT. Pozytywne zakończenie FAT jest warunkiem zwolnienia przesyłki.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F725B" w14:textId="3C8840DC" w:rsidR="005A3746" w:rsidRPr="00BD0E10" w:rsidRDefault="00694FE6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2E4F3" w14:textId="77777777" w:rsidR="005A3746" w:rsidRPr="00BD0E10" w:rsidRDefault="005A3746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694FE6" w:rsidRPr="00BD0E10" w14:paraId="7C2A3E80" w14:textId="77777777" w:rsidTr="00262429">
        <w:trPr>
          <w:trHeight w:val="284"/>
          <w:jc w:val="center"/>
        </w:trPr>
        <w:tc>
          <w:tcPr>
            <w:tcW w:w="96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21DCC0F" w14:textId="13E53933" w:rsidR="00694FE6" w:rsidRPr="00262429" w:rsidRDefault="00694FE6" w:rsidP="006746CE">
            <w:pPr>
              <w:snapToGrid w:val="0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 w:themeColor="text1"/>
                <w:sz w:val="22"/>
              </w:rPr>
              <w:t xml:space="preserve">Test odbiorczy w obiekcie – SAT </w:t>
            </w:r>
          </w:p>
        </w:tc>
      </w:tr>
      <w:tr w:rsidR="003E5879" w:rsidRPr="00BD0E10" w14:paraId="20614051" w14:textId="77777777" w:rsidTr="00262429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</w:tcBorders>
          </w:tcPr>
          <w:p w14:paraId="5F26D489" w14:textId="254CAF64" w:rsidR="003E5879" w:rsidRPr="00BD0E10" w:rsidRDefault="00262429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URS-3.1.9.50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</w:tcBorders>
            <w:vAlign w:val="center"/>
          </w:tcPr>
          <w:p w14:paraId="6FB4806E" w14:textId="7E3E5AEA" w:rsidR="003E5879" w:rsidRPr="001008A3" w:rsidRDefault="003E5879" w:rsidP="006746CE">
            <w:pPr>
              <w:pStyle w:val="Default"/>
              <w:rPr>
                <w:noProof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Dostawca przeprowadzi testy odbiorcze w obiekcie (SAT) w siedzibie klienta w obecności przedstawicieli klienta.  Test należy przeprowadzić przez co najmniej 2 godziny dla 4R (fiolki), szczegóły dotyczące przebiegu testu i kryteria akceptacji należy uwzględnić w planie testów.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FF50B" w14:textId="66D38D7B" w:rsidR="003E5879" w:rsidRPr="00BD0E10" w:rsidRDefault="00262429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89537" w14:textId="77777777" w:rsidR="003E5879" w:rsidRPr="00BD0E10" w:rsidRDefault="003E5879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3E5879" w:rsidRPr="00BD0E10" w14:paraId="77FC0CA5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75C5EA0F" w14:textId="2B99298C" w:rsidR="003E5879" w:rsidRPr="00BD0E10" w:rsidRDefault="00262429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URS-3.1.9.51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B14433" w14:textId="42CFE128" w:rsidR="003E5879" w:rsidRPr="001008A3" w:rsidRDefault="003E5879" w:rsidP="006746CE">
            <w:pPr>
              <w:pStyle w:val="Default"/>
              <w:rPr>
                <w:noProof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DOSTAWCA przedstawi plan testów, który zostanie zweryfikowany (w razie potrzeby zmodyfikowany) i zatwierdzony przez KLIENTA, a następnie ponownie przekazany DOSTAWCY przed wykonaniem SAT.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23104" w14:textId="5CE7A650" w:rsidR="003E5879" w:rsidRPr="00BD0E10" w:rsidRDefault="00262429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F5427" w14:textId="77777777" w:rsidR="003E5879" w:rsidRPr="00BD0E10" w:rsidRDefault="003E5879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3E5879" w:rsidRPr="00BD0E10" w14:paraId="77FAFD4C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445F2880" w14:textId="29935ACA" w:rsidR="003E5879" w:rsidRPr="00BD0E10" w:rsidRDefault="00262429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URS-3.1.9.52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17DEB1" w14:textId="0C048C73" w:rsidR="003E5879" w:rsidRPr="001008A3" w:rsidRDefault="003E5879" w:rsidP="003E5879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DOSTAWCA jest odpowiedzialny za przeprowadzenie SAT zgodnie z harmonogramem. </w:t>
            </w:r>
          </w:p>
          <w:p w14:paraId="11A1992F" w14:textId="2CC6EBB1" w:rsidR="003E5879" w:rsidRPr="001008A3" w:rsidRDefault="003E5879" w:rsidP="003E5879">
            <w:pPr>
              <w:pStyle w:val="Default"/>
              <w:rPr>
                <w:noProof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Wszelkie koszty spowodowane przedłużeniem SAT z powodu niepowodzenia testu (testów) pokrywa DOSTAWCA.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E5C03" w14:textId="3DE423DA" w:rsidR="003E5879" w:rsidRPr="00BD0E10" w:rsidRDefault="00262429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CEB48" w14:textId="77777777" w:rsidR="003E5879" w:rsidRPr="00BD0E10" w:rsidRDefault="003E5879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3E5879" w:rsidRPr="00BD0E10" w14:paraId="610DA6F1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185E7327" w14:textId="1C3DDB39" w:rsidR="003E5879" w:rsidRPr="00BD0E10" w:rsidRDefault="00262429" w:rsidP="006746CE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URS-3.1.9.53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7460BA" w14:textId="17FD7710" w:rsidR="003E5879" w:rsidRPr="001008A3" w:rsidRDefault="00B71FC0" w:rsidP="003E5879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Zasadniczo testy funkcjonalne przeprowadzone podczas wykonywania FAT powinny zostać powtórzone. Szczegółowa lista wszystkich testów SAT zostanie zatwierdzona jako część planu SAT.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FBD4C" w14:textId="74404566" w:rsidR="003E5879" w:rsidRPr="00BD0E10" w:rsidRDefault="00262429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E04DF" w14:textId="77777777" w:rsidR="003E5879" w:rsidRPr="00BD0E10" w:rsidRDefault="003E5879" w:rsidP="006746CE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195AF7D6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43915FF4" w14:textId="281DD341" w:rsidR="00B71FC0" w:rsidRPr="00BD0E10" w:rsidRDefault="0026242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URS-3.1.9.54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3B1AF3B3" w14:textId="6B0856FF" w:rsidR="00B71FC0" w:rsidRPr="001008A3" w:rsidRDefault="00B71FC0" w:rsidP="00B71FC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 fazie SAT/rozruchu krytyczne przyrządy pomiarowe muszą znajdować się w początkowym okresie ważności kalibracji.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3EEA0" w14:textId="60B346C6" w:rsidR="00B71FC0" w:rsidRPr="00BD0E10" w:rsidRDefault="00262429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6265F" w14:textId="77777777" w:rsidR="00B71FC0" w:rsidRPr="00BD0E10" w:rsidRDefault="00B71FC0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7AC56FE6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5709B085" w14:textId="6D06F6A9" w:rsidR="00B71FC0" w:rsidRPr="00BD0E10" w:rsidRDefault="0026242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URS-3.1.9.55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29C5B097" w14:textId="402300F8" w:rsidR="00B71FC0" w:rsidRPr="001008A3" w:rsidRDefault="00B71FC0" w:rsidP="00B71FC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Obsługa sprzętu podczas SAT/uruchomienia powinna być wykonywana przez DOSTAWCĘ i stanowi część zakresu dostawy.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45544" w14:textId="58AF0959" w:rsidR="00B71FC0" w:rsidRPr="00BD0E10" w:rsidRDefault="00262429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7E553" w14:textId="77777777" w:rsidR="00B71FC0" w:rsidRPr="00BD0E10" w:rsidRDefault="00B71FC0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424A06A2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7EA369A7" w14:textId="549A0DAA" w:rsidR="00B71FC0" w:rsidRPr="00BD0E10" w:rsidRDefault="0026242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URS-3.1.9.56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5E1930F7" w14:textId="6B8A26F7" w:rsidR="00B71FC0" w:rsidRPr="001008A3" w:rsidRDefault="00B71FC0" w:rsidP="00B71FC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DOSTAWCA sporządzi również raport po zakończeniu SAT i zobowiązuje się do usunięcia wszelkich odchyleń stwierdzonych podczas przeprowadzania SAT. Wszelkie zmiany wymagane w celu spełnienia specyfikacji zostaną wdrożone, zarejestrowane, a cała dokumentacja zostanie zaktualizowana i ponownie przedłożona KLIENTOWI bez żadnych kosztów dla KLIENTA.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852F8" w14:textId="4E0678FE" w:rsidR="00B71FC0" w:rsidRPr="00BD0E10" w:rsidRDefault="00262429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3A267" w14:textId="77777777" w:rsidR="00B71FC0" w:rsidRPr="00BD0E10" w:rsidRDefault="00B71FC0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24DD0EC8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507E3E2F" w14:textId="13AA12F8" w:rsidR="00B71FC0" w:rsidRPr="00BD0E10" w:rsidRDefault="0026242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URS-3.1.9.57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59B0ECAE" w14:textId="77777777" w:rsidR="00B71FC0" w:rsidRPr="001008A3" w:rsidRDefault="00B71FC0" w:rsidP="00B71FC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Pozytywny wynik testu SAT jest warunkiem koniecznym do wydania kwalifikacji instalacyjnej i operacyjnej (IQ/OQ).</w:t>
            </w:r>
          </w:p>
          <w:p w14:paraId="16247B66" w14:textId="1D7F6CEA" w:rsidR="00B71FC0" w:rsidRPr="00BD0E10" w:rsidRDefault="00B71FC0" w:rsidP="00B71FC0">
            <w:pPr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Uwaga: Podobną dokumentację należy dostarczyć dla wyposażenia dodatkowego, jeśli jest ono dostarczane, np. dla PMS, </w:t>
            </w:r>
            <w:r>
              <w:rPr>
                <w:rFonts w:ascii="Arial" w:hAnsi="Arial"/>
                <w:color w:val="000000" w:themeColor="text1"/>
                <w:sz w:val="22"/>
              </w:rPr>
              <w:lastRenderedPageBreak/>
              <w:t>mikrobiologicznego próbnika powietrza i testera integralności rękawic.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EC83B" w14:textId="7EA6816B" w:rsidR="00B71FC0" w:rsidRPr="00BD0E10" w:rsidRDefault="00262429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4408C" w14:textId="77777777" w:rsidR="00B71FC0" w:rsidRPr="00BD0E10" w:rsidRDefault="00B71FC0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262429" w:rsidRPr="00BD0E10" w14:paraId="596ED6D9" w14:textId="77777777" w:rsidTr="00597F68">
        <w:trPr>
          <w:trHeight w:val="284"/>
          <w:jc w:val="center"/>
        </w:trPr>
        <w:tc>
          <w:tcPr>
            <w:tcW w:w="96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3173A" w14:textId="1A8AAB47" w:rsidR="00262429" w:rsidRPr="00262429" w:rsidRDefault="00262429" w:rsidP="00B71FC0">
            <w:pPr>
              <w:snapToGrid w:val="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 w:themeColor="text1"/>
                <w:sz w:val="22"/>
              </w:rPr>
              <w:t>Kwalifikacja projektu – DQ</w:t>
            </w:r>
          </w:p>
        </w:tc>
      </w:tr>
      <w:tr w:rsidR="00433A93" w:rsidRPr="00BD0E10" w14:paraId="035CA6CC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2EF44164" w14:textId="680C5973" w:rsidR="00433A93" w:rsidRPr="00BD0E10" w:rsidRDefault="0026242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URS-3.1.9.58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6B7D56D8" w14:textId="304E76A9" w:rsidR="00433A93" w:rsidRPr="00BD0E10" w:rsidRDefault="00433A93" w:rsidP="00B71FC0">
            <w:pPr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Kwalifikacja projektu zostanie przeprowadzona przez DOSTAWCĘ. DOSTAWCA dostarczy wszystkie wymagane do tego celu dokumenty zatwierdzone przez KLIENTA.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97B2E" w14:textId="21488F52" w:rsidR="00433A93" w:rsidRPr="00BD0E10" w:rsidRDefault="00262429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75DF7" w14:textId="77777777" w:rsidR="00433A93" w:rsidRPr="00BD0E10" w:rsidRDefault="00433A93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433A93" w:rsidRPr="00BD0E10" w14:paraId="57DE1A61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1B445FF9" w14:textId="0D9B8CEE" w:rsidR="00433A93" w:rsidRPr="00BD0E10" w:rsidRDefault="0026242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URS-3.1.9.59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29229A31" w14:textId="0E32AF2F" w:rsidR="00433A93" w:rsidRPr="00BD0E10" w:rsidRDefault="00433A93" w:rsidP="00B71F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 celu zidentyfikowania krytycznych elementów systemu/urządzeń DOSTAWCA przeprowadza ocenę krytyczności elementów (CCA), która musi zostać zatwierdzona przez KLIENTA. Na podstawie zatwierdzonego CCA DOSTAWCA przeprowadzi analizę ryzyka (RA).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20F43" w14:textId="77AEEF96" w:rsidR="00433A93" w:rsidRPr="00BD0E10" w:rsidRDefault="00262429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03F6E" w14:textId="77777777" w:rsidR="00433A93" w:rsidRPr="00BD0E10" w:rsidRDefault="00433A93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433A93" w:rsidRPr="00BD0E10" w14:paraId="56B3901D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2C3B64AB" w14:textId="74FAC173" w:rsidR="00433A93" w:rsidRPr="00BD0E10" w:rsidRDefault="0026242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URS-3.1.9.60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7D91B5D4" w14:textId="66C1D342" w:rsidR="00433A93" w:rsidRPr="00BD0E10" w:rsidRDefault="00433A93" w:rsidP="00B71F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Analiza ryzyka powinna określać poziom ryzyka związanego z każdym elementem i funkcją urządzenia/systemu i powinna stanowić podstawę zakresu testów kwalifikacyjnych. Zarówno działania CCA, jak i RA należy wykonać przed DQ na etapie projektowania.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991AE" w14:textId="0D2A538B" w:rsidR="00433A93" w:rsidRPr="00BD0E10" w:rsidRDefault="00262429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6B03A" w14:textId="77777777" w:rsidR="00433A93" w:rsidRPr="00BD0E10" w:rsidRDefault="00433A93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433A93" w:rsidRPr="00BD0E10" w14:paraId="0269B263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2FBFCC31" w14:textId="67BE7E35" w:rsidR="00433A93" w:rsidRPr="00BD0E10" w:rsidRDefault="0026242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URS-3.1.9.61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6C093CDA" w14:textId="2E5D01BD" w:rsidR="00433A93" w:rsidRPr="00BD0E10" w:rsidRDefault="00433A93" w:rsidP="00B71F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DOSTAWCA powinien przygotować kwalifikację DQ, która wykazuje, że urządzenie spełnia wymagania GMP i wymagania użytkownika (URS), w oparciu o własną dokumentację. Kolejna kwalifikacja powinna zostać zaakceptowana przez KLIENTA. Raport DQ powinien być dostępny podczas testów FAT.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07B38" w14:textId="2BD3AD53" w:rsidR="00433A93" w:rsidRPr="00BD0E10" w:rsidRDefault="00262429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3EF22" w14:textId="77777777" w:rsidR="00433A93" w:rsidRPr="00BD0E10" w:rsidRDefault="00433A93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262429" w:rsidRPr="00BD0E10" w14:paraId="05CD47F8" w14:textId="77777777" w:rsidTr="00262429">
        <w:trPr>
          <w:trHeight w:val="284"/>
          <w:jc w:val="center"/>
        </w:trPr>
        <w:tc>
          <w:tcPr>
            <w:tcW w:w="96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63FB9F1" w14:textId="23690CDD" w:rsidR="00262429" w:rsidRPr="00262429" w:rsidRDefault="00262429" w:rsidP="00B71FC0">
            <w:pPr>
              <w:snapToGrid w:val="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 w:themeColor="text1"/>
                <w:sz w:val="22"/>
              </w:rPr>
              <w:t>Test kwalifikacji instalacji – IQ</w:t>
            </w:r>
          </w:p>
        </w:tc>
      </w:tr>
      <w:tr w:rsidR="00433A93" w:rsidRPr="00BD0E10" w14:paraId="39AD7929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12836265" w14:textId="590C333B" w:rsidR="00433A93" w:rsidRPr="00BD0E10" w:rsidRDefault="0026242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URS-3.1.9.62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556283A6" w14:textId="6AD69F55" w:rsidR="00433A93" w:rsidRPr="00BD0E10" w:rsidRDefault="00433A93" w:rsidP="00B71FC0">
            <w:pPr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DOSTAWCA jest odpowiedzialny za przeprowadzenie kwalifikacji instalacji (IQ) pod nadzorem KLIENTA.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151AB" w14:textId="4416349A" w:rsidR="00433A93" w:rsidRPr="00BD0E10" w:rsidRDefault="00262429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6E936" w14:textId="77777777" w:rsidR="00433A93" w:rsidRPr="00BD0E10" w:rsidRDefault="00433A93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433A93" w:rsidRPr="00BD0E10" w14:paraId="43CA26E3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556C61E0" w14:textId="38B77684" w:rsidR="00433A93" w:rsidRPr="00BD0E10" w:rsidRDefault="0026242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URS-3.1.9.63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27D7A924" w14:textId="77777777" w:rsidR="00433A93" w:rsidRPr="00895DB7" w:rsidRDefault="00433A93" w:rsidP="00433A93">
            <w:pPr>
              <w:pStyle w:val="Tekstkomentarza"/>
              <w:rPr>
                <w:rFonts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Wymagane jest uzyskanie kwalifikacji opartej na funkcjonalnej analizie ryzyka, która powinna obejmować co najmniej:</w:t>
            </w:r>
          </w:p>
          <w:p w14:paraId="0B4D296C" w14:textId="77777777" w:rsidR="00433A93" w:rsidRPr="00895DB7" w:rsidRDefault="00433A93" w:rsidP="00B71FC0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Weryfikację dokumentacji powykonawczej (np. schematy P&amp;ID, plany rozmieszczenia itp.)</w:t>
            </w:r>
          </w:p>
          <w:p w14:paraId="591381D8" w14:textId="77777777" w:rsidR="00433A93" w:rsidRPr="00895DB7" w:rsidRDefault="00433A93" w:rsidP="00433A93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Weryfikację dokumentacji technicznej (np. arkusze danych, deklaracje, licencje, specyfikacje techniczne wymagane do IQ / OQ)</w:t>
            </w:r>
          </w:p>
          <w:p w14:paraId="1FE068B1" w14:textId="77777777" w:rsidR="00433A93" w:rsidRPr="00895DB7" w:rsidRDefault="00433A93" w:rsidP="00433A93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Rysunki, wykazy i przegląd schematów P&amp;ID</w:t>
            </w:r>
          </w:p>
          <w:p w14:paraId="1AFD36EF" w14:textId="77777777" w:rsidR="00433A93" w:rsidRPr="00895DB7" w:rsidRDefault="00433A93" w:rsidP="00433A93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Weryfikację mediów</w:t>
            </w:r>
          </w:p>
          <w:p w14:paraId="57500471" w14:textId="77777777" w:rsidR="00433A93" w:rsidRPr="00895DB7" w:rsidRDefault="00433A93" w:rsidP="00433A93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Weryfikację certyfikatów kalibracji producenta instrumentów krytycznych</w:t>
            </w:r>
          </w:p>
          <w:p w14:paraId="60EA3EF7" w14:textId="77777777" w:rsidR="00433A93" w:rsidRPr="00895DB7" w:rsidRDefault="00433A93" w:rsidP="00433A93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Weryfikację kalibracji sprzętu testowego</w:t>
            </w:r>
          </w:p>
          <w:p w14:paraId="0B149CDF" w14:textId="0C142B9E" w:rsidR="00215234" w:rsidRPr="00215234" w:rsidRDefault="00433A93" w:rsidP="00D57A7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36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lastRenderedPageBreak/>
              <w:t>Weryfikację poprawności instalacji w stosunku do zatwierdzonej dokumentacji.</w:t>
            </w:r>
          </w:p>
          <w:p w14:paraId="684ABD1C" w14:textId="5C9EDE25" w:rsidR="00D57A76" w:rsidRPr="00895DB7" w:rsidRDefault="00D57A76" w:rsidP="00D57A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 przypadku systemu komputerowego:</w:t>
            </w:r>
          </w:p>
          <w:p w14:paraId="3F9DB266" w14:textId="0B16DD38" w:rsidR="00D57A76" w:rsidRPr="00895DB7" w:rsidRDefault="00D57A76" w:rsidP="00D57A7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 Weryfikację dokumentacji powykonawczej (specyfikacja funkcjonalna, specyfikacja projektowa i konfiguracyjna, HDS/SDS)</w:t>
            </w:r>
          </w:p>
          <w:p w14:paraId="3069A6CB" w14:textId="77777777" w:rsidR="00D57A76" w:rsidRPr="00895DB7" w:rsidRDefault="00D57A76" w:rsidP="00D57A7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Weryfikację instalacji sprzętu/oprogramowania</w:t>
            </w:r>
          </w:p>
          <w:p w14:paraId="583DB259" w14:textId="77777777" w:rsidR="00D57A76" w:rsidRPr="00895DB7" w:rsidRDefault="00D57A76" w:rsidP="00D57A7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Weryfikację wizualizacji (HMI / SCADA)</w:t>
            </w:r>
          </w:p>
          <w:p w14:paraId="4DF6598B" w14:textId="77777777" w:rsidR="00D57A76" w:rsidRPr="00895DB7" w:rsidRDefault="00D57A76" w:rsidP="00D57A7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Weryfikację danych wejściowych/wyjściowych</w:t>
            </w:r>
          </w:p>
          <w:p w14:paraId="35D04E9E" w14:textId="77777777" w:rsidR="00D57A76" w:rsidRPr="00895DB7" w:rsidRDefault="00D57A76" w:rsidP="00D57A7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CFR 21 część 11 i załącznik 11 do weryfikacji zgodności z GMP</w:t>
            </w:r>
          </w:p>
          <w:p w14:paraId="7B782912" w14:textId="77777777" w:rsidR="00D57A76" w:rsidRPr="00895DB7" w:rsidRDefault="00D57A76" w:rsidP="00D57A7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Test zasilania</w:t>
            </w:r>
          </w:p>
          <w:p w14:paraId="67C67CC2" w14:textId="77777777" w:rsidR="00D57A76" w:rsidRPr="00895DB7" w:rsidRDefault="00D57A76" w:rsidP="00D57A7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Weryfikację alarmu</w:t>
            </w:r>
          </w:p>
          <w:p w14:paraId="2C0A51FB" w14:textId="77777777" w:rsidR="00380986" w:rsidRPr="00895DB7" w:rsidRDefault="00D57A76" w:rsidP="00D57A7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Kontrolę poziomu dostępu / weryfikację bezpieczeństwa</w:t>
            </w:r>
          </w:p>
          <w:p w14:paraId="15994F08" w14:textId="77777777" w:rsidR="00380986" w:rsidRPr="00895DB7" w:rsidRDefault="00D57A76" w:rsidP="0038098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Testowanie ścieżki audytu</w:t>
            </w:r>
          </w:p>
          <w:p w14:paraId="46B58AD4" w14:textId="77777777" w:rsidR="00380986" w:rsidRPr="00895DB7" w:rsidRDefault="00D57A76" w:rsidP="0038098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Weryfikację procedury tworzenia kopii zapasowych i odzyskiwania danych</w:t>
            </w:r>
          </w:p>
          <w:p w14:paraId="7D30F626" w14:textId="77777777" w:rsidR="00380986" w:rsidRPr="00895DB7" w:rsidRDefault="00D57A76" w:rsidP="0038098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Weryfikację funkcjonalności interfejsu HMI/ekranu</w:t>
            </w:r>
          </w:p>
          <w:p w14:paraId="2BF63341" w14:textId="77777777" w:rsidR="00380986" w:rsidRPr="00895DB7" w:rsidRDefault="00D57A76" w:rsidP="0038098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Raportowanie (w tym wydruki)</w:t>
            </w:r>
          </w:p>
          <w:p w14:paraId="194CCDC6" w14:textId="48B96E83" w:rsidR="00380986" w:rsidRPr="00895DB7" w:rsidRDefault="00D57A76" w:rsidP="0038098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Archiwizację / Trendy</w:t>
            </w:r>
          </w:p>
          <w:p w14:paraId="32E2D246" w14:textId="77777777" w:rsidR="00380986" w:rsidRPr="00895DB7" w:rsidRDefault="00D57A76" w:rsidP="00D57A7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Bezpieczeństwo danych</w:t>
            </w:r>
          </w:p>
          <w:p w14:paraId="39F3C3A3" w14:textId="2749FB9E" w:rsidR="00D57A76" w:rsidRPr="00BD0E10" w:rsidRDefault="00D57A76" w:rsidP="00D57A7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04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Test awarii zasilania / Test zatrzymania awaryjnego.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52851" w14:textId="6EFCF19A" w:rsidR="00433A93" w:rsidRPr="00BD0E10" w:rsidRDefault="00262429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89F0A" w14:textId="77777777" w:rsidR="00433A93" w:rsidRPr="00BD0E10" w:rsidRDefault="00433A93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433A93" w:rsidRPr="00BD0E10" w14:paraId="460119D7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6F258104" w14:textId="4F2FCD3F" w:rsidR="00433A93" w:rsidRPr="00BD0E10" w:rsidRDefault="009E286B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URS-3.1.9.64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0CD37589" w14:textId="484F9B38" w:rsidR="00433A93" w:rsidRPr="00BD0E10" w:rsidRDefault="00380986" w:rsidP="00B71FC0">
            <w:pPr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 przypadku niepowodzenia testy zostaną powtórzone przez DOSTAWCĘ, a wszelkie koszty spowodowane przedłużeniem IQ pokryje DOSTAWCA.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0BEA5" w14:textId="77E1D6C1" w:rsidR="00433A93" w:rsidRPr="00BD0E10" w:rsidRDefault="009E286B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E8A6B" w14:textId="77777777" w:rsidR="00433A93" w:rsidRPr="00BD0E10" w:rsidRDefault="00433A93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380986" w:rsidRPr="00BD0E10" w14:paraId="0F20199C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58E5F2B8" w14:textId="561EECA4" w:rsidR="00380986" w:rsidRPr="00BD0E10" w:rsidRDefault="009E286B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URS-3.1.9.65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089D6556" w14:textId="5D831D4F" w:rsidR="00380986" w:rsidRPr="00BD0E10" w:rsidRDefault="00380986" w:rsidP="00B71FC0">
            <w:pPr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DOSTAWCA sporządzi również raport IQ po zakończeniu IQ, zaakceptowany przez KLIENTA, zawierający informację, że można rozpocząć kwalifikację OQ, i zobowiązuje się do usunięcia wszelkich odchyleń stwierdzonych podczas wykonywania IQ.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54001" w14:textId="2DF8A765" w:rsidR="00380986" w:rsidRPr="00BD0E10" w:rsidRDefault="009E286B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1CD7" w14:textId="77777777" w:rsidR="00380986" w:rsidRPr="00BD0E10" w:rsidRDefault="00380986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380986" w:rsidRPr="00BD0E10" w14:paraId="57C4CF51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6D06B50A" w14:textId="76243753" w:rsidR="00380986" w:rsidRPr="00BD0E10" w:rsidRDefault="009E286B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URS-3.1.9.66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355C2EEE" w14:textId="72FFF8A1" w:rsidR="00380986" w:rsidRPr="00895DB7" w:rsidRDefault="00380986" w:rsidP="00B71FC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Pozytywny wynik IQ jest warunkiem koniecznym do uzyskania kwalifikacji operacyjnej (OQ).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12253" w14:textId="666B4F8E" w:rsidR="00380986" w:rsidRPr="00BD0E10" w:rsidRDefault="009E286B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E9707" w14:textId="77777777" w:rsidR="00380986" w:rsidRPr="00BD0E10" w:rsidRDefault="00380986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9E286B" w:rsidRPr="00BD0E10" w14:paraId="2DA1C68B" w14:textId="77777777" w:rsidTr="009E286B">
        <w:trPr>
          <w:trHeight w:val="284"/>
          <w:jc w:val="center"/>
        </w:trPr>
        <w:tc>
          <w:tcPr>
            <w:tcW w:w="96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9BA1FA" w14:textId="57D88E40" w:rsidR="009E286B" w:rsidRPr="009E286B" w:rsidRDefault="009E286B" w:rsidP="00B71FC0">
            <w:pPr>
              <w:snapToGrid w:val="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 w:themeColor="text1"/>
                <w:sz w:val="22"/>
              </w:rPr>
              <w:t>Test kwalifikacji operacyjnej – OQ</w:t>
            </w:r>
          </w:p>
        </w:tc>
      </w:tr>
      <w:tr w:rsidR="00380986" w:rsidRPr="00BD0E10" w14:paraId="139272ED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52817BC2" w14:textId="664FDD1B" w:rsidR="00380986" w:rsidRPr="00BD0E10" w:rsidRDefault="009E286B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URS-3.1.9.67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4C75931C" w14:textId="75C2E5A5" w:rsidR="00380986" w:rsidRPr="009075F9" w:rsidRDefault="00380986" w:rsidP="00B71FC0">
            <w:pPr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DOSTAWCA jest odpowiedzialny za przeprowadzenie kwalifikacji operacyjnej (OQ) pod nadzorem KLIENTA.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9824C" w14:textId="409F2317" w:rsidR="00380986" w:rsidRPr="00BD0E10" w:rsidRDefault="009075F9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87160" w14:textId="77777777" w:rsidR="00380986" w:rsidRPr="00BD0E10" w:rsidRDefault="00380986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380986" w:rsidRPr="00BD0E10" w14:paraId="0403CE7E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3581E37B" w14:textId="17EA2197" w:rsidR="00380986" w:rsidRPr="00BD0E10" w:rsidRDefault="009E286B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URS-3.1.9.68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5300C178" w14:textId="5D6F93D5" w:rsidR="00380986" w:rsidRPr="00BD0E10" w:rsidRDefault="00380986" w:rsidP="00B71FC0">
            <w:pPr>
              <w:rPr>
                <w:rFonts w:ascii="Arial" w:hAnsi="Arial" w:cs="Arial"/>
                <w:color w:val="7F7F7F" w:themeColor="text1" w:themeTint="8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DOSTAWCA przedstawi koncepcję planu OQ, który zostanie zweryfikowany (w razie potrzeby </w:t>
            </w:r>
            <w:r>
              <w:rPr>
                <w:rFonts w:ascii="Arial" w:hAnsi="Arial"/>
                <w:color w:val="000000" w:themeColor="text1"/>
                <w:sz w:val="22"/>
              </w:rPr>
              <w:lastRenderedPageBreak/>
              <w:t>zmodyfikowany) i zatwierdzony przez KLIENTA przed wykonaniem OQ. Testy IQ i OQ powinny opierać się na analizie ryzyka (ocenie ryzyka funkcjonalnego). DOSTAWCA jest odpowiedzialny za wykonanie testów OQ zgodnie z harmonogramem.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B05FD" w14:textId="3411FEED" w:rsidR="00380986" w:rsidRPr="00BD0E10" w:rsidRDefault="009075F9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19C3E" w14:textId="77777777" w:rsidR="00380986" w:rsidRPr="00BD0E10" w:rsidRDefault="00380986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380986" w:rsidRPr="00BD0E10" w14:paraId="38ADDE8B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06C8D53D" w14:textId="26FE0C74" w:rsidR="00380986" w:rsidRPr="00BD0E10" w:rsidRDefault="009E286B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URS-3.1.9.69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61A92CB8" w14:textId="01054845" w:rsidR="00380986" w:rsidRPr="00BD0E10" w:rsidRDefault="002F666B" w:rsidP="00B71F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 przypadku niepowodzenia testy zostaną powtórzone przez DOSTAWCĘ, a wszelkie koszty spowodowane przedłużeniem OQ pokryje DOSTAWCA.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58B73" w14:textId="316D8E35" w:rsidR="00380986" w:rsidRPr="00BD0E10" w:rsidRDefault="009075F9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3973D" w14:textId="77777777" w:rsidR="00380986" w:rsidRPr="00BD0E10" w:rsidRDefault="00380986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2F666B" w:rsidRPr="00BD0E10" w14:paraId="0F262085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19E3345E" w14:textId="61E69776" w:rsidR="002F666B" w:rsidRPr="00BD0E10" w:rsidRDefault="009E286B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URS-3.1.9.70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3C5CA801" w14:textId="6B163F99" w:rsidR="002F666B" w:rsidRPr="00895DB7" w:rsidRDefault="002F666B" w:rsidP="00B71FC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Obsługa sprzętu podczas OQ powinna być wykonywana przez DOSTAWCĘ i stanowi część ZAKRESU DOSTAWY.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60E7F" w14:textId="52F5655D" w:rsidR="002F666B" w:rsidRPr="00BD0E10" w:rsidRDefault="009075F9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6F9B4" w14:textId="77777777" w:rsidR="002F666B" w:rsidRPr="00BD0E10" w:rsidRDefault="002F666B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2F666B" w:rsidRPr="00BD0E10" w14:paraId="364298B1" w14:textId="77777777" w:rsidTr="00D62703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272AB9AA" w14:textId="53BC1BC6" w:rsidR="002F666B" w:rsidRPr="00BD0E10" w:rsidRDefault="009E286B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URS-3.1.9.71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</w:tcPr>
          <w:p w14:paraId="2D2168D4" w14:textId="33E88E07" w:rsidR="002F666B" w:rsidRPr="00895DB7" w:rsidRDefault="002F666B" w:rsidP="00B71FC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Wszystkie niezbędne surowce i materiały pomocnicze zostaną dostarczone przez KLIENTA.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F5E16" w14:textId="2B3E8005" w:rsidR="002F666B" w:rsidRPr="00BD0E10" w:rsidRDefault="009075F9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9605C" w14:textId="77777777" w:rsidR="002F666B" w:rsidRPr="00BD0E10" w:rsidRDefault="002F666B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D0E10" w:rsidRPr="00BD0E10" w14:paraId="02BF632D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4AA85479" w14:textId="148CDD04" w:rsidR="00BD0E10" w:rsidRPr="00BD0E10" w:rsidRDefault="009E286B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URS-3.1.9.72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BD7DB1" w14:textId="2CB3A983" w:rsidR="00BD0E10" w:rsidRPr="00895DB7" w:rsidRDefault="00BD0E10" w:rsidP="00B71FC0">
            <w:pPr>
              <w:pStyle w:val="Default"/>
              <w:rPr>
                <w:strike/>
                <w:noProof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DOSTAWCA jest odpowiedzialny za wykonanie IQ/OQ dla PMS, testera integralności rękawic i mikrobiologicznego próbnika powietrza pod nadzorem KLIENTA.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BAE65" w14:textId="17C2147D" w:rsidR="00BD0E10" w:rsidRPr="00BD0E10" w:rsidRDefault="009075F9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E09EB" w14:textId="77777777" w:rsidR="00BD0E10" w:rsidRPr="00BD0E10" w:rsidRDefault="00BD0E10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D0E10" w:rsidRPr="00BD0E10" w14:paraId="38A02D18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14:paraId="11D8ECE0" w14:textId="3E8F80C0" w:rsidR="00BD0E10" w:rsidRPr="00BD0E10" w:rsidRDefault="009075F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URS-3.1.9.73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04177B" w14:textId="41164CD1" w:rsidR="00BD0E10" w:rsidRPr="00895DB7" w:rsidRDefault="00BD0E10" w:rsidP="009075F9">
            <w:pPr>
              <w:ind w:right="-28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DOSTAWCA zapewni odpowiednie szkolenia dla operatorów i konserwatorów zatrudnionych przez firmę Bioceltix. Szkolenie będzie obejmowało instruktaż personelu obsługującego w zakresie prawidłowej obsługi sprzętu, a personel techniczny zapozna się z konserwacją, regulacją, kalibracją przyrządów oraz diagnostyką i naprawą sprzętu.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595D0" w14:textId="0B98BCA1" w:rsidR="00BD0E10" w:rsidRPr="00BD0E10" w:rsidRDefault="009075F9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11504" w14:textId="77777777" w:rsidR="00BD0E10" w:rsidRPr="00BD0E10" w:rsidRDefault="00BD0E10" w:rsidP="00B71FC0">
            <w:pPr>
              <w:snapToGrid w:val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5CFA6423" w14:textId="77777777" w:rsidTr="00D71F90">
        <w:trPr>
          <w:trHeight w:val="284"/>
          <w:jc w:val="center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647C1E" w14:textId="77777777" w:rsidR="00B71FC0" w:rsidRPr="00BD0E10" w:rsidRDefault="00B71FC0" w:rsidP="00B71FC0">
            <w:pPr>
              <w:snapToGrid w:val="0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3.1.10. Przepisy i normy</w:t>
            </w:r>
          </w:p>
        </w:tc>
      </w:tr>
      <w:tr w:rsidR="00B71FC0" w:rsidRPr="00BD0E10" w14:paraId="4BAB6D77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E0795F" w14:textId="77777777" w:rsidR="00B71FC0" w:rsidRPr="00BD0E10" w:rsidRDefault="00B71FC0" w:rsidP="00B71FC0">
            <w:pPr>
              <w:snapToGrid w:val="0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URS-3.1.10.01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5BDE77" w14:textId="77777777" w:rsidR="00B71FC0" w:rsidRPr="00BD0E10" w:rsidRDefault="00B71FC0" w:rsidP="00B71FC0">
            <w:pPr>
              <w:pStyle w:val="TEXT"/>
              <w:ind w:left="0"/>
            </w:pPr>
            <w:r>
              <w:t>Podstawowe wymagania dotyczące produktów leczniczych:</w:t>
            </w:r>
          </w:p>
          <w:p w14:paraId="7A725FA2" w14:textId="77777777" w:rsidR="00B71FC0" w:rsidRPr="00AE35B3" w:rsidRDefault="00B71FC0" w:rsidP="00B71FC0">
            <w:pPr>
              <w:pStyle w:val="TEXT"/>
              <w:widowControl w:val="0"/>
              <w:numPr>
                <w:ilvl w:val="0"/>
                <w:numId w:val="6"/>
              </w:numPr>
              <w:ind w:right="0"/>
              <w:outlineLvl w:val="9"/>
            </w:pPr>
            <w:r>
              <w:t xml:space="preserve">EU GMP Tom 4 – Wytyczne GMP, część 1: </w:t>
            </w:r>
          </w:p>
          <w:p w14:paraId="10CBB2FB" w14:textId="77777777" w:rsidR="00B71FC0" w:rsidRPr="00BD0E10" w:rsidRDefault="00B71FC0" w:rsidP="00B71FC0">
            <w:pPr>
              <w:pStyle w:val="TEXT"/>
              <w:ind w:left="0"/>
            </w:pPr>
            <w:r>
              <w:t>Rozdział 3 (Pomieszczenia i wyposażenie)</w:t>
            </w:r>
          </w:p>
          <w:p w14:paraId="719DF4AA" w14:textId="77777777" w:rsidR="00B71FC0" w:rsidRPr="00BD0E10" w:rsidRDefault="00B71FC0" w:rsidP="00B71FC0">
            <w:pPr>
              <w:pStyle w:val="TEXT"/>
              <w:ind w:left="0"/>
            </w:pPr>
            <w:r>
              <w:t>Rozdział 5 (Produkcja)</w:t>
            </w:r>
          </w:p>
          <w:p w14:paraId="53C00169" w14:textId="77777777" w:rsidR="00B71FC0" w:rsidRPr="00BD0E10" w:rsidRDefault="00B71FC0" w:rsidP="00B71FC0">
            <w:pPr>
              <w:pStyle w:val="TEXT"/>
              <w:ind w:left="0"/>
            </w:pPr>
            <w:r>
              <w:t>Rozdział 6 (Kontrola jakości)</w:t>
            </w:r>
          </w:p>
          <w:p w14:paraId="08030977" w14:textId="77777777" w:rsidR="00B71FC0" w:rsidRPr="00AE35B3" w:rsidRDefault="00B71FC0" w:rsidP="00B71FC0">
            <w:pPr>
              <w:pStyle w:val="TEXT"/>
              <w:widowControl w:val="0"/>
              <w:numPr>
                <w:ilvl w:val="0"/>
                <w:numId w:val="6"/>
              </w:numPr>
              <w:ind w:right="0"/>
              <w:outlineLvl w:val="9"/>
            </w:pPr>
            <w:r>
              <w:t>EU GMP Tom 4 – Wytyczne GMP, załącznik:</w:t>
            </w:r>
          </w:p>
          <w:p w14:paraId="778ED86B" w14:textId="77777777" w:rsidR="00B71FC0" w:rsidRPr="00BD0E10" w:rsidRDefault="00B71FC0" w:rsidP="00B71FC0">
            <w:pPr>
              <w:pStyle w:val="TEXT"/>
              <w:ind w:left="0"/>
            </w:pPr>
            <w:r>
              <w:t>Załącznik 1 (Produkcja sterylnych produktów leczniczych)</w:t>
            </w:r>
          </w:p>
          <w:p w14:paraId="1A9CDF25" w14:textId="6BF5A7E9" w:rsidR="00B71FC0" w:rsidRPr="00BD0E10" w:rsidRDefault="00B71FC0" w:rsidP="00B71FC0">
            <w:pPr>
              <w:pStyle w:val="TableText"/>
            </w:pPr>
            <w:r>
              <w:t>Załącznik 2 (Wytwarzanie produktów leczniczych stosowanych u ludzi)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959AC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9ECBB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693E9C2B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935C87" w14:textId="77777777" w:rsidR="00B71FC0" w:rsidRPr="00BD0E10" w:rsidRDefault="00B71FC0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URS-3.1.10.02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325929" w14:textId="0B7E176A" w:rsidR="00B71FC0" w:rsidRPr="00BD0E10" w:rsidRDefault="00B71FC0" w:rsidP="00B71FC0">
            <w:pPr>
              <w:pStyle w:val="Tekstpodstawowy"/>
              <w:tabs>
                <w:tab w:val="left" w:pos="1800"/>
              </w:tabs>
              <w:snapToGrid w:val="0"/>
              <w:rPr>
                <w:rFonts w:ascii="Arial" w:hAnsi="Arial" w:cs="Arial"/>
                <w:bCs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FDA GMP 21 CFR części 11, 210, 211 i część 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33B4E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C3F21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6DF37490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FA0CE4" w14:textId="77777777" w:rsidR="00B71FC0" w:rsidRPr="00BD0E10" w:rsidRDefault="00B71FC0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URS-3.1.10.03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F91DC1" w14:textId="77777777" w:rsidR="00B71FC0" w:rsidRPr="00BD0E10" w:rsidRDefault="00B71FC0" w:rsidP="00B71FC0">
            <w:pPr>
              <w:pStyle w:val="TEXT"/>
              <w:ind w:left="0"/>
            </w:pPr>
            <w:r>
              <w:t>Zgodność z normami CE:</w:t>
            </w:r>
          </w:p>
          <w:p w14:paraId="10CD568E" w14:textId="1CF739D3" w:rsidR="00B71FC0" w:rsidRPr="00BD0E10" w:rsidRDefault="00B71FC0" w:rsidP="00B71FC0">
            <w:pPr>
              <w:pStyle w:val="Default"/>
              <w:rPr>
                <w:noProof/>
                <w:color w:val="FF0000"/>
                <w:sz w:val="22"/>
                <w:szCs w:val="22"/>
              </w:rPr>
            </w:pPr>
            <w:r>
              <w:rPr>
                <w:sz w:val="22"/>
              </w:rPr>
              <w:lastRenderedPageBreak/>
              <w:t>Zgodnie z dyrektywami Unii Europejskiej.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4341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86B92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6A3F576F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43155F" w14:textId="7FB73FCA" w:rsidR="00B71FC0" w:rsidRPr="00BD0E10" w:rsidRDefault="00B71FC0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URS-3.1.10.04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34A636" w14:textId="40A9545B" w:rsidR="00B71FC0" w:rsidRPr="00BD0E10" w:rsidRDefault="00B71FC0" w:rsidP="00B71FC0">
            <w:pPr>
              <w:pStyle w:val="TableText"/>
            </w:pPr>
            <w:r>
              <w:t>Podstawowe wytyczne ISPE dotyczące inżynierii farmaceutycznej:</w:t>
            </w:r>
          </w:p>
          <w:p w14:paraId="39D95C28" w14:textId="6363F55E" w:rsidR="00B71FC0" w:rsidRPr="00BD0E10" w:rsidRDefault="00B71FC0" w:rsidP="00B71FC0">
            <w:pPr>
              <w:pStyle w:val="BULLETSzatablicu"/>
              <w:numPr>
                <w:ilvl w:val="0"/>
                <w:numId w:val="6"/>
              </w:numPr>
              <w:rPr>
                <w:rFonts w:cs="Arial"/>
              </w:rPr>
            </w:pPr>
            <w:r>
              <w:t>Tom 3 (Sterylne zakłady produkcyjne),</w:t>
            </w:r>
          </w:p>
          <w:p w14:paraId="5E979C60" w14:textId="1D612A2D" w:rsidR="00B71FC0" w:rsidRPr="00563264" w:rsidRDefault="00B71FC0" w:rsidP="00563264">
            <w:pPr>
              <w:pStyle w:val="BULLETSzatablicu"/>
              <w:numPr>
                <w:ilvl w:val="0"/>
                <w:numId w:val="6"/>
              </w:numPr>
              <w:rPr>
                <w:rFonts w:cs="Arial"/>
              </w:rPr>
            </w:pPr>
            <w:r>
              <w:t>Tom 6 (Zakłady produkcji biofarmaceutyków).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6F7EC" w14:textId="5B688684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20BE7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31987DFC" w14:textId="77777777" w:rsidTr="00D71F90">
        <w:trPr>
          <w:trHeight w:val="284"/>
          <w:jc w:val="center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CB9ED1" w14:textId="77777777" w:rsidR="00B71FC0" w:rsidRPr="00BD0E10" w:rsidRDefault="00B71FC0" w:rsidP="00B71FC0">
            <w:pPr>
              <w:snapToGrid w:val="0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3.1.11. Projekt techniczny</w:t>
            </w:r>
          </w:p>
        </w:tc>
      </w:tr>
      <w:tr w:rsidR="00B71FC0" w:rsidRPr="00BD0E10" w14:paraId="7FFFF1EE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88F488" w14:textId="4349262A" w:rsidR="00B71FC0" w:rsidRPr="00BD0E10" w:rsidRDefault="00136488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URS-3.1.11.01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19DFFE" w14:textId="002DAFAF" w:rsidR="00B71FC0" w:rsidRPr="00BD0E10" w:rsidRDefault="00B71FC0" w:rsidP="00B71FC0">
            <w:pPr>
              <w:pStyle w:val="Default"/>
              <w:jc w:val="both"/>
              <w:rPr>
                <w:noProof/>
                <w:color w:val="auto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System ma być przeznaczony do napełniania, zamykania i zakręcania wstępnie wysterylizowanych fiolek, które muszą pasować do układu obiektu (patrz załącznik 01).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30443" w14:textId="13D97070" w:rsidR="00B71FC0" w:rsidRPr="00BD0E10" w:rsidRDefault="00136488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77B3F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5BAD4F98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2358DB" w14:textId="260E51C2" w:rsidR="00B71FC0" w:rsidRPr="00BD0E10" w:rsidRDefault="00136488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URS-3.1.11.02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1498AF" w14:textId="0E6355A6" w:rsidR="00B71FC0" w:rsidRPr="00BD0E10" w:rsidRDefault="00B71FC0" w:rsidP="00B71FC0">
            <w:pPr>
              <w:pStyle w:val="Default"/>
              <w:jc w:val="both"/>
              <w:rPr>
                <w:noProof/>
                <w:color w:val="auto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Projekt i konstrukcja powinny być zgodne ze sprawdzonymi standardami DOSTAWCY dla warunków przemysłu farmaceutycznego i powinny uwzględniać cechy konstrukcyjne oraz wymagania materiałowe wskazane w niniejszym dokumencie.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24439" w14:textId="17BB35D5" w:rsidR="00B71FC0" w:rsidRPr="00BD0E10" w:rsidRDefault="00136488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FFF98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5B947B70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25F5B1" w14:textId="4C663CBB" w:rsidR="00B71FC0" w:rsidRPr="00BD0E10" w:rsidRDefault="00136488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URS-3.1.11.03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F657D" w14:textId="112CF6D7" w:rsidR="00B71FC0" w:rsidRPr="00BD0E10" w:rsidRDefault="00B71FC0" w:rsidP="00B71FC0">
            <w:pPr>
              <w:pStyle w:val="Default"/>
              <w:jc w:val="both"/>
              <w:rPr>
                <w:color w:val="EE000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Linia do napełniania powinna działać jako w pełni zautomatyzowana maszyna, która powinna pasować do układu pomieszczenia – patrz załącznik 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52C41" w14:textId="43418D07" w:rsidR="00B71FC0" w:rsidRPr="00BD0E10" w:rsidRDefault="00136488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F63CC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77E42223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44FB1" w14:textId="30FF1D29" w:rsidR="00B71FC0" w:rsidRPr="00BD0E10" w:rsidRDefault="00136488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URS-3.1.11.04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CEC417" w14:textId="77777777" w:rsidR="00B71FC0" w:rsidRPr="00527DA8" w:rsidRDefault="00B71FC0" w:rsidP="00B71FC0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Maszyna będzie pełnić następujące funkcje:</w:t>
            </w:r>
          </w:p>
          <w:p w14:paraId="2C4555DD" w14:textId="596A5A4B" w:rsidR="00B71FC0" w:rsidRPr="00527DA8" w:rsidRDefault="00B71FC0" w:rsidP="00B71FC0">
            <w:pPr>
              <w:pStyle w:val="Akapitzlist"/>
              <w:numPr>
                <w:ilvl w:val="0"/>
                <w:numId w:val="16"/>
              </w:numPr>
              <w:ind w:left="180" w:hanging="141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Rozpakowywanie pojemników i transportowanie ich do obszaru sterylnego.</w:t>
            </w:r>
          </w:p>
          <w:p w14:paraId="7AFBB8E7" w14:textId="354DE1C9" w:rsidR="00B71FC0" w:rsidRPr="00527DA8" w:rsidRDefault="00A5089A" w:rsidP="00B71FC0">
            <w:pPr>
              <w:pStyle w:val="Akapitzlist"/>
              <w:numPr>
                <w:ilvl w:val="0"/>
                <w:numId w:val="16"/>
              </w:numPr>
              <w:ind w:left="180" w:hanging="141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NTT i otwieranie wstępnie wysterylizowanych opakowań (fiolek)</w:t>
            </w:r>
          </w:p>
          <w:p w14:paraId="798E4758" w14:textId="345467C8" w:rsidR="00B71FC0" w:rsidRPr="00527DA8" w:rsidRDefault="00B71FC0" w:rsidP="00B71FC0">
            <w:pPr>
              <w:pStyle w:val="Akapitzlist"/>
              <w:numPr>
                <w:ilvl w:val="0"/>
                <w:numId w:val="16"/>
              </w:numPr>
              <w:ind w:left="180" w:hanging="141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Napełnianie (fiolki)</w:t>
            </w:r>
          </w:p>
          <w:p w14:paraId="6253E36B" w14:textId="44323417" w:rsidR="00B71FC0" w:rsidRPr="00527DA8" w:rsidRDefault="00B71FC0" w:rsidP="00B71FC0">
            <w:pPr>
              <w:pStyle w:val="Akapitzlist"/>
              <w:numPr>
                <w:ilvl w:val="0"/>
                <w:numId w:val="16"/>
              </w:numPr>
              <w:ind w:left="180" w:hanging="141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Ważenie przed i po z możliwością wykonania 0-100% IPC</w:t>
            </w:r>
          </w:p>
          <w:p w14:paraId="11B322E8" w14:textId="47486D31" w:rsidR="00B71FC0" w:rsidRPr="00527DA8" w:rsidRDefault="00B71FC0" w:rsidP="00B71FC0">
            <w:pPr>
              <w:pStyle w:val="Akapitzlist"/>
              <w:numPr>
                <w:ilvl w:val="0"/>
                <w:numId w:val="16"/>
              </w:numPr>
              <w:ind w:left="180" w:hanging="141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Zamykanie (zakręcanie i zaciskanie)</w:t>
            </w:r>
          </w:p>
          <w:p w14:paraId="4FDFFE6A" w14:textId="77777777" w:rsidR="00B71FC0" w:rsidRPr="00527DA8" w:rsidRDefault="00B71FC0" w:rsidP="00B71FC0">
            <w:pPr>
              <w:pStyle w:val="Akapitzlist"/>
              <w:numPr>
                <w:ilvl w:val="0"/>
                <w:numId w:val="16"/>
              </w:numPr>
              <w:ind w:left="180" w:hanging="141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System monitorowania cząstek</w:t>
            </w:r>
          </w:p>
          <w:p w14:paraId="15691475" w14:textId="25D5E589" w:rsidR="00B71FC0" w:rsidRPr="00527DA8" w:rsidRDefault="00B71FC0" w:rsidP="00B71FC0">
            <w:pPr>
              <w:pStyle w:val="Akapitzlist"/>
              <w:numPr>
                <w:ilvl w:val="0"/>
                <w:numId w:val="16"/>
              </w:numPr>
              <w:ind w:left="180" w:hanging="141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Mikrobiologiczny próbniki powietrza – metoda objętościowa</w:t>
            </w:r>
          </w:p>
          <w:p w14:paraId="1ED5ADCA" w14:textId="77777777" w:rsidR="004855C7" w:rsidRPr="00527DA8" w:rsidRDefault="00B71FC0" w:rsidP="004855C7">
            <w:pPr>
              <w:pStyle w:val="Akapitzlist"/>
              <w:numPr>
                <w:ilvl w:val="0"/>
                <w:numId w:val="16"/>
              </w:numPr>
              <w:ind w:left="180" w:hanging="141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Tester integralności rękawic</w:t>
            </w:r>
          </w:p>
          <w:p w14:paraId="085203EF" w14:textId="038576B0" w:rsidR="00B71FC0" w:rsidRPr="00527DA8" w:rsidRDefault="00EF5235" w:rsidP="00EF5235">
            <w:pPr>
              <w:pStyle w:val="Akapitzlist"/>
              <w:numPr>
                <w:ilvl w:val="0"/>
                <w:numId w:val="16"/>
              </w:numPr>
              <w:ind w:left="180" w:hanging="141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Taśma przenośnika wyjściowego z maszyny, przechodząca przez ścianę pomieszczenia czystego w celu dalszej obróbki.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D9801" w14:textId="58B3FE94" w:rsidR="00B71FC0" w:rsidRPr="00BD0E10" w:rsidRDefault="00136488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D3057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540738AD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913456" w14:textId="37CFC8E7" w:rsidR="00B71FC0" w:rsidRPr="00BD0E10" w:rsidRDefault="00136488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URS-3.1.11.05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917792" w14:textId="24202719" w:rsidR="00B71FC0" w:rsidRPr="00527DA8" w:rsidRDefault="00B71FC0" w:rsidP="00B71FC0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Nie powinno dochodzić do kontaktu szkła ze szkłem lub powinien on być ograniczony do minimum.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2BAA7" w14:textId="77777777" w:rsidR="00B71FC0" w:rsidRDefault="00136488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  <w:p w14:paraId="3FA4FBF3" w14:textId="460E863C" w:rsidR="00136488" w:rsidRPr="00BD0E10" w:rsidRDefault="00136488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25FF0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27E45811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862C1C" w14:textId="1885E060" w:rsidR="00B71FC0" w:rsidRPr="00BD0E10" w:rsidRDefault="002129A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URS-3.1.11.06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7186C" w14:textId="1081EA9C" w:rsidR="00B71FC0" w:rsidRPr="00BD0E10" w:rsidRDefault="00B71FC0" w:rsidP="00B71FC0">
            <w:pPr>
              <w:pStyle w:val="Default"/>
              <w:jc w:val="both"/>
              <w:rPr>
                <w:color w:val="EE000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Należy unikać uszkodzeń i wad szkła podczas transportu na całej linii. Należy zapewnić, aby podczas produkcji liczba upuszczonych lub stłuczonych fiolek nie przekraczała 0,1%. Materiały opakowaniowe muszą być nieuszkodzone.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0B070" w14:textId="62FD71DA" w:rsidR="00B71FC0" w:rsidRPr="00BD0E10" w:rsidRDefault="002129A9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DA448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63D8D576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DC368" w14:textId="7820EFEF" w:rsidR="00B71FC0" w:rsidRPr="00BD0E10" w:rsidRDefault="002129A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URS-3.1.11.07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2E3529" w14:textId="33374548" w:rsidR="00B71FC0" w:rsidRPr="00BD0E10" w:rsidRDefault="00B71FC0" w:rsidP="00B71FC0">
            <w:pPr>
              <w:pStyle w:val="Default"/>
              <w:jc w:val="both"/>
              <w:rPr>
                <w:color w:val="EE000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Należy rozważyć możliwość napełniania różnymi produktami. Zastosowana technologia powinna zapewniać maksymalną elastyczność i minimalizować ryzyko zanieczyszczenia krzyżowego między różnymi produktami.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A5191" w14:textId="72F92BCF" w:rsidR="00B71FC0" w:rsidRPr="00BD0E10" w:rsidRDefault="005830EE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80230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2DCD3F12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601F53" w14:textId="7CA3B795" w:rsidR="00B71FC0" w:rsidRPr="00BD0E10" w:rsidRDefault="002129A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URS-3.1.11.08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9E6487" w14:textId="4CB18D82" w:rsidR="00B71FC0" w:rsidRPr="00BD0E10" w:rsidRDefault="00B71FC0" w:rsidP="00B71FC0">
            <w:pPr>
              <w:jc w:val="both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Szybka i prosta zmiana rozmiaru formatu części przy niewielkim lub zerowym zapotrzebowaniu na narzędzia podczas montażu/demontażu.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383C8" w14:textId="5C128707" w:rsidR="00B71FC0" w:rsidRPr="00BD0E10" w:rsidRDefault="005830EE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36959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79914AC8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10557" w14:textId="02439FE7" w:rsidR="00B71FC0" w:rsidRPr="00BD0E10" w:rsidRDefault="002129A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URS-3.1.11.09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06ABFA" w14:textId="689F0ED2" w:rsidR="00B71FC0" w:rsidRPr="00527DA8" w:rsidRDefault="00B71FC0" w:rsidP="00B71FC0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Dostępność wszystkich obszarów wymagających regularnego czyszczenia, obsługi, serwisowania lub konserwacji.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079B4" w14:textId="4DD307DC" w:rsidR="00B71FC0" w:rsidRPr="00BD0E10" w:rsidRDefault="005830EE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9A6CF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73E2C8EA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1DCF44" w14:textId="75C11F08" w:rsidR="00B71FC0" w:rsidRPr="00BD0E10" w:rsidRDefault="002129A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URS-3.1.11.10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A53839" w14:textId="775A0D59" w:rsidR="00B71FC0" w:rsidRPr="00BD0E10" w:rsidRDefault="00B71FC0" w:rsidP="00B71FC0">
            <w:pPr>
              <w:pStyle w:val="Default"/>
              <w:jc w:val="both"/>
              <w:rPr>
                <w:color w:val="EE000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Bariera fizyczna dla całej linii. Aby zapewnić aseptyczną produkcję bez zanieczyszczeń, wymagane są systemy Open RABS lub inne odpowiednie środki. Bariera fizyczna (systemy Open RABS) musi składać się z: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AB85A" w14:textId="00D568E4" w:rsidR="00B71FC0" w:rsidRPr="00BD0E10" w:rsidRDefault="002129A9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F1FC6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730B652D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1CE7C6" w14:textId="389D3A95" w:rsidR="00B71FC0" w:rsidRPr="00BD0E10" w:rsidRDefault="002129A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URS-3.1.11.11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F4641B" w14:textId="54B8ABF0" w:rsidR="00B71FC0" w:rsidRPr="00BD0E10" w:rsidRDefault="00B71FC0" w:rsidP="00B71FC0">
            <w:pPr>
              <w:pStyle w:val="Default"/>
              <w:jc w:val="both"/>
              <w:rPr>
                <w:color w:val="EE000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Cały proces widoczny przez okna/drzwi systemu Open RABS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13D18" w14:textId="33E1677A" w:rsidR="00B71FC0" w:rsidRPr="00BD0E10" w:rsidRDefault="005830EE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1A107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094A80B4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15347C" w14:textId="652845DA" w:rsidR="00B71FC0" w:rsidRPr="00BD0E10" w:rsidRDefault="002129A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URS-3.1.11.12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B6085" w14:textId="27507CC8" w:rsidR="00B71FC0" w:rsidRPr="00BD0E10" w:rsidRDefault="00B71FC0" w:rsidP="00B71FC0">
            <w:pPr>
              <w:pStyle w:val="Default"/>
              <w:jc w:val="both"/>
              <w:rPr>
                <w:color w:val="EE000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Otwarte systemy RABS powinny mieć odpowiednią liczbę drzwi, które umożliwiają wykonywanie czynności związanych z procesem, zmianą formatu, kwalifikacją, czyszczeniem i konserwacją, w tym łatwy dostęp w celu wymiany filtra.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2C8AD" w14:textId="694B8404" w:rsidR="00B71FC0" w:rsidRPr="00BD0E10" w:rsidRDefault="005830EE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96027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5C794DD5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B43978" w14:textId="768ACE32" w:rsidR="00B71FC0" w:rsidRPr="00BD0E10" w:rsidRDefault="002129A9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URS-3.1.11.13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D86C4" w14:textId="01D05598" w:rsidR="00B71FC0" w:rsidRPr="00BD0E10" w:rsidRDefault="00B71FC0" w:rsidP="00B71FC0">
            <w:pPr>
              <w:pStyle w:val="Default"/>
              <w:jc w:val="both"/>
              <w:rPr>
                <w:color w:val="EE000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Drzwi oRABS muszą być wyposażone w system blokady i alarmu, w tym w bezpieczną wiązkę świetlną do kontroli wejścia operatora do urządzenia oRABS przez rękawice.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7BC55" w14:textId="11147F59" w:rsidR="00B71FC0" w:rsidRPr="00BD0E10" w:rsidRDefault="005830EE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0EC62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192F2315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7C596F" w14:textId="75DBBA39" w:rsidR="00B71FC0" w:rsidRPr="00BD0E10" w:rsidRDefault="005830EE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URS-3.1.11.14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7FDD9B" w14:textId="46155A83" w:rsidR="00B71FC0" w:rsidRPr="00BD0E10" w:rsidRDefault="00B71FC0" w:rsidP="00B71FC0">
            <w:pPr>
              <w:pStyle w:val="Default"/>
              <w:jc w:val="both"/>
              <w:rPr>
                <w:color w:val="EE0000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System oRABS powinien umożliwiać zamontowanie rękawic (jedno- lub dwuwarstwowych), zapewniających dostęp do wszystkich obszarów urządzenia.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53477" w14:textId="5A663067" w:rsidR="00B71FC0" w:rsidRPr="00BD0E10" w:rsidRDefault="005830EE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72B4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4938DF10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12E285" w14:textId="28DAD07C" w:rsidR="00B71FC0" w:rsidRPr="00BD0E10" w:rsidRDefault="005830EE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URS-3.1.11.15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88D98A" w14:textId="44682269" w:rsidR="00B71FC0" w:rsidRPr="00BD0E10" w:rsidRDefault="00B71FC0" w:rsidP="00B71FC0">
            <w:pPr>
              <w:snapToGrid w:val="0"/>
              <w:spacing w:before="40" w:after="40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Rozmieszczenie sprzętu w urządzeniu powinno zapewniać odpowiednią przestrzeń do przechowywania materiałów eksploatacyjnych, takich jak płytki osadowe, chusteczki niepozostawiające włókien, przeznaczone do tego celu narzędzia itp. Lub należy zaprojektować alternatywny system.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E5914" w14:textId="1D5BCCAA" w:rsidR="00B71FC0" w:rsidRPr="00BD0E10" w:rsidRDefault="005830EE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C14DB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B71FC0" w:rsidRPr="00BD0E10" w14:paraId="60BBEC43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CA945" w14:textId="53A49FE0" w:rsidR="00B71FC0" w:rsidRPr="00BD0E10" w:rsidRDefault="005830EE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URS-3.1.11.16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67396" w14:textId="2463BA1B" w:rsidR="00B71FC0" w:rsidRPr="005830EE" w:rsidRDefault="00B71FC0" w:rsidP="00B71FC0">
            <w:pPr>
              <w:snapToGrid w:val="0"/>
              <w:spacing w:before="40" w:after="40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Proces usuwania worków musi być przeprowadzany pod urządzeniem LAF, aby zapewnić, że żadne zanieczyszczenia nie przedostaną się do obszaru napełniania podczas tego procesu.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D322F" w14:textId="7E0CD7E6" w:rsidR="00B71FC0" w:rsidRPr="00BD0E10" w:rsidRDefault="00F312C2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B161C" w14:textId="77777777" w:rsidR="00B71FC0" w:rsidRPr="00BD0E10" w:rsidRDefault="00B71FC0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2A2947" w:rsidRPr="00BD0E10" w14:paraId="1A14C299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2BDA7D" w14:textId="722F9FC9" w:rsidR="002A2947" w:rsidRPr="00BD0E10" w:rsidRDefault="002A0031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URS-3.1.11.17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9AAB4" w14:textId="5CE9B68E" w:rsidR="002A2947" w:rsidRPr="002A2947" w:rsidRDefault="007D73FC" w:rsidP="002A2947">
            <w:pPr>
              <w:pStyle w:val="NormalnyWeb"/>
            </w:pPr>
            <w:r>
              <w:rPr>
                <w:rFonts w:ascii="Arial" w:hAnsi="Arial"/>
                <w:color w:val="000000" w:themeColor="text1"/>
                <w:sz w:val="22"/>
              </w:rPr>
              <w:t>Pierwsze wyjęcie worka należy wykonać w rękawiczkach.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68532" w14:textId="294EC8C3" w:rsidR="002A2947" w:rsidRDefault="007D73FC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0A5C8" w14:textId="77777777" w:rsidR="002A2947" w:rsidRPr="00BD0E10" w:rsidRDefault="002A2947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C648BD" w:rsidRPr="00BD0E10" w14:paraId="67BBC76C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A22884" w14:textId="51235640" w:rsidR="00C648BD" w:rsidRPr="00BD0E10" w:rsidRDefault="00C648BD" w:rsidP="00B71FC0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URS-3.1.11.18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930C3" w14:textId="378C94A0" w:rsidR="00C648BD" w:rsidRPr="005830EE" w:rsidRDefault="00C648BD" w:rsidP="00B71FC0">
            <w:pPr>
              <w:snapToGrid w:val="0"/>
              <w:spacing w:before="40" w:after="40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Urządzenie do rozpakowywania zostanie zainstalowane w pomieszczeniu do przetwarzania fiolek (klasa D).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07664" w14:textId="0C36BA1B" w:rsidR="00C648BD" w:rsidRDefault="00C648BD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AB418" w14:textId="77777777" w:rsidR="00C648BD" w:rsidRPr="00BD0E10" w:rsidRDefault="00C648BD" w:rsidP="00B71FC0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3CD48392" w14:textId="77777777" w:rsidTr="00B85728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C16728" w14:textId="770B4816" w:rsidR="00AE7647" w:rsidRPr="00BD0E10" w:rsidRDefault="002A0031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URS-3.1.11.19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809BC" w14:textId="77777777" w:rsidR="00AE7647" w:rsidRPr="002A0031" w:rsidRDefault="00AE7647" w:rsidP="00AE7647">
            <w:pPr>
              <w:pStyle w:val="NormalnyWeb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Maszyna zostanie zainstalowana w pomieszczeniu do napełniania (klasa B).</w:t>
            </w:r>
          </w:p>
          <w:p w14:paraId="7FBF73F8" w14:textId="77777777" w:rsidR="00AE7647" w:rsidRPr="002A0031" w:rsidRDefault="00AE7647" w:rsidP="00AE7647">
            <w:pPr>
              <w:pStyle w:val="NormalnyWeb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Warunki środowiskowe:</w:t>
            </w:r>
          </w:p>
          <w:p w14:paraId="1EA42FCA" w14:textId="207A2A94" w:rsidR="00AE7647" w:rsidRPr="002A0031" w:rsidRDefault="00AE7647" w:rsidP="00F50C04">
            <w:pPr>
              <w:pStyle w:val="NormalnyWeb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Temperatura: 19°C ± 2°C</w:t>
            </w:r>
          </w:p>
          <w:p w14:paraId="5857651A" w14:textId="77777777" w:rsidR="00AE7647" w:rsidRPr="002A0031" w:rsidRDefault="00AE7647" w:rsidP="00F50C04">
            <w:pPr>
              <w:pStyle w:val="NormalnyWeb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Wilgotność: 30 ÷ 60%</w:t>
            </w:r>
          </w:p>
          <w:p w14:paraId="1F9F2B65" w14:textId="13E9557B" w:rsidR="00AE7647" w:rsidRPr="00257DE2" w:rsidRDefault="00AE7647" w:rsidP="00AE7647">
            <w:pPr>
              <w:pStyle w:val="NormalnyWeb"/>
              <w:numPr>
                <w:ilvl w:val="0"/>
                <w:numId w:val="27"/>
              </w:numPr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Wymiana powietrza min.: 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08E92" w14:textId="09C02784" w:rsidR="00AE7647" w:rsidRDefault="00F50C04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A3875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2A0031" w:rsidRPr="00BD0E10" w14:paraId="22518788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6FBD79" w14:textId="2DB43C4E" w:rsidR="002A0031" w:rsidRPr="00BD0E10" w:rsidRDefault="002A0031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URS-3.1.11.20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C4C3D2" w14:textId="4771B7FB" w:rsidR="002A0031" w:rsidRPr="002A0031" w:rsidRDefault="002A0031" w:rsidP="00AE7647">
            <w:pPr>
              <w:snapToGrid w:val="0"/>
              <w:spacing w:before="40" w:after="4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NTT i zdejmowanie pokrywy zostaną wykonane wewnątrz LAF (strefa A).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9023E" w14:textId="3CB225BD" w:rsidR="002A0031" w:rsidRDefault="00D31910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7CBC8" w14:textId="77777777" w:rsidR="002A0031" w:rsidRPr="00BD0E10" w:rsidRDefault="002A0031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16F0DC30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5F1A75" w14:textId="40BAC901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URS-3.1.11.21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86E580" w14:textId="784665AB" w:rsidR="00AE7647" w:rsidRPr="005830EE" w:rsidRDefault="00AE7647" w:rsidP="00AE7647">
            <w:pPr>
              <w:snapToGrid w:val="0"/>
              <w:spacing w:before="40" w:after="40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Obszar napełniania i zamykania musi znajdować się wewnątrz LAF (strefa A); chroniona jednostka musi być oddzielona od etapu zamykania, aby uniknąć zanieczyszczenia produktu cząstkami.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F5F07" w14:textId="4DC393CE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D6F3A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3871FCA5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589331" w14:textId="7E40F20C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URS-3.1.11.22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13B314" w14:textId="07F628DA" w:rsidR="00AE7647" w:rsidRPr="00BD0E10" w:rsidRDefault="00AE7647" w:rsidP="00AE7647">
            <w:pPr>
              <w:snapToGrid w:val="0"/>
              <w:spacing w:before="40" w:after="40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Zamykanie fiolek będzie odbywać się wewnątrz LAF (strefa A).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9F397" w14:textId="630A2C69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29BDA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6C984E2C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F200C7" w14:textId="5DC189B0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URS-3.1.11.23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4C250" w14:textId="2FAACA78" w:rsidR="00AE7647" w:rsidRPr="00BD0E10" w:rsidRDefault="00AE7647" w:rsidP="00AE7647">
            <w:pPr>
              <w:jc w:val="both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Przepływ powietrza między różnymi strefami musi być kontrolowany, aby zapewnić ochronę produktu w różnych strefach.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F3FD2" w14:textId="1856AB89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01D13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3F8F6E82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A306FB" w14:textId="03610E4B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URS-3.1.11.24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4FBA61" w14:textId="428ECD31" w:rsidR="00AE7647" w:rsidRPr="00D31910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Prędkość LAF 0,45 +/- 20 % musi być dostarczana na wysokości roboczej (powinno się robić ciągłe pomiary / kontrolę prędkości).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DE3FF" w14:textId="4FFF761E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06F6D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36894362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7B84D" w14:textId="4104B8E1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URS-3.1.11.25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649C1" w14:textId="4AEAC671" w:rsidR="00AE7647" w:rsidRPr="00D31910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Powinien być wykonywany pomiar na filtrach HEPA, aby wykazać spadek ciśnienia.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8142D" w14:textId="16634474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B02DA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027CF5BC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A6649" w14:textId="350EE537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URS-3.1.11.26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02C0D4" w14:textId="536E5CFE" w:rsidR="00AE7647" w:rsidRPr="00D31910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Pod LAF będzie znajdować się strefa sterylna – klasa A, środowisko ISO 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C7BB5" w14:textId="7945CAAA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27770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0E6542D3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DD9633" w14:textId="13E60A47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URS-3.1.11.27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731D9E" w14:textId="28FC7CE0" w:rsidR="00AE7647" w:rsidRPr="00D31910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Maksymalna zawartość zanieczyszczeń (cząstek niezdolnych do życia) w 1 m</w:t>
            </w:r>
            <w:r>
              <w:rPr>
                <w:rFonts w:ascii="Arial" w:hAnsi="Arial"/>
                <w:color w:val="000000" w:themeColor="text1"/>
                <w:sz w:val="22"/>
                <w:vertAlign w:val="superscript"/>
              </w:rPr>
              <w:t>3</w:t>
            </w:r>
            <w:r>
              <w:rPr>
                <w:rFonts w:ascii="Arial" w:hAnsi="Arial"/>
                <w:color w:val="000000" w:themeColor="text1"/>
                <w:sz w:val="22"/>
              </w:rPr>
              <w:t xml:space="preserve"> wskazana poniżej (załącznik 1 do GMP UE i norma EN ISO 14644-1):</w:t>
            </w:r>
          </w:p>
          <w:p w14:paraId="5D442A63" w14:textId="77777777" w:rsidR="00AE7647" w:rsidRPr="00D31910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Klasa A: (w stanie spoczynku i podczas pracy)</w:t>
            </w:r>
          </w:p>
          <w:p w14:paraId="1B1AF8B3" w14:textId="06CD0C1B" w:rsidR="00AE7647" w:rsidRPr="00D31910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≥ 0,5 μm maksymalnie 3520 cząstek,</w:t>
            </w:r>
          </w:p>
          <w:p w14:paraId="48D81192" w14:textId="17A1255E" w:rsidR="00AE7647" w:rsidRPr="00BD0E10" w:rsidRDefault="00AE7647" w:rsidP="00AE7647">
            <w:pPr>
              <w:jc w:val="both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≥ 5,0 μm maksymalnie 20 cząstek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6EF39" w14:textId="057CC243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427BD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3CEEFAEC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E69450" w14:textId="5589D195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URS-3.1.11.28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48CEC7" w14:textId="77777777" w:rsidR="00AE7647" w:rsidRPr="00D31910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Maksymalna zawartość zanieczyszczeń (żywych drobnoustrojów):</w:t>
            </w:r>
          </w:p>
          <w:p w14:paraId="5B318A86" w14:textId="2E8FBB6D" w:rsidR="00AE7647" w:rsidRPr="00D31910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- Aktywne pobieranie próbek powietrza: brak wzrostu</w:t>
            </w:r>
          </w:p>
          <w:p w14:paraId="169C158B" w14:textId="78751988" w:rsidR="00AE7647" w:rsidRPr="00D31910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- Pasywne pobieranie próbek powietrza: brak wzrostu (średnica płytki sedymentacyjnej 90 mm)</w:t>
            </w:r>
          </w:p>
          <w:p w14:paraId="0CD49B34" w14:textId="3A748319" w:rsidR="00AE7647" w:rsidRPr="00BD0E10" w:rsidRDefault="00AE7647" w:rsidP="00AE7647">
            <w:pPr>
              <w:jc w:val="both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- Powierzchnie: brak wzrostu (średnica płytki 55 mm).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2E112" w14:textId="1E354A66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15ECF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723D2948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388EC4" w14:textId="06887503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URS-3.1.11.29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9BB42" w14:textId="37430380" w:rsidR="00AE7647" w:rsidRPr="00BD0E10" w:rsidRDefault="00AE7647" w:rsidP="00AE7647">
            <w:pPr>
              <w:jc w:val="both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Wewnątrz komory LAF istnieje potrzeba stałego monitorowania cząstek i parametrów LAF w punktach krytycznych. Punkt pobrania próbek do monitorowania cząstek i pobierania próbek </w:t>
            </w:r>
            <w:r>
              <w:rPr>
                <w:rFonts w:ascii="Arial" w:hAnsi="Arial"/>
                <w:color w:val="000000" w:themeColor="text1"/>
                <w:sz w:val="22"/>
              </w:rPr>
              <w:lastRenderedPageBreak/>
              <w:t>powietrza, liczba sond i lokalizacje zostaną określone po zakończeniu analizy ryzyka i zweryfikowane po wizycie w modelu.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1CCD0" w14:textId="7D73FE85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B0861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20255335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0126B0" w14:textId="1C2669D7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URS-3.1.11.30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360B00" w14:textId="48D88B15" w:rsidR="00AE7647" w:rsidRPr="00BD0E10" w:rsidRDefault="00AE7647" w:rsidP="00AE7647">
            <w:pPr>
              <w:jc w:val="both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Filtry: Filtr wstępny: Filtr drobnego pyłu Filtr główny: Filtr cząstek stałych, filtr HEPA, klasa filtra H14 zgodnie z normą EN1822, skuteczność filtracji 99,995%. Wlot powietrza LAF powinien być umieszczony na górze LAF.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0C968" w14:textId="65F841DB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B5C6C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40C258D9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212CA3" w14:textId="24140539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URS-3.1.11.31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BA424D" w14:textId="545C4485" w:rsidR="00AE7647" w:rsidRPr="00D31910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Integralność filtra głównego – przepływ laminarny jest wyposażony w złącze Tri-Clamp do testów aerozolowych.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E830D" w14:textId="00034D0C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665F5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24D88492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E600D" w14:textId="2D48B850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URS-3.1.11.32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57B63B" w14:textId="22D62522" w:rsidR="00AE7647" w:rsidRPr="00442815" w:rsidRDefault="00AE7647" w:rsidP="00AE7647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Test integralności rękawic należy przeprowadzić w warunkach LAF (klasa A).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6B14E" w14:textId="19AF7AB6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CB5D5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0D0D8B90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796E8" w14:textId="270F5AEE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URS-3.1.11.33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552050" w14:textId="0C5B5508" w:rsidR="00AE7647" w:rsidRPr="00A5089A" w:rsidRDefault="00AE7647" w:rsidP="00AE7647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Stopery powinny być przenoszone do miski stoperowej przez port RTP. Otwarcie portu powinno być wykonywane przy użyciu rękawiczek klasy A (zgodnie z LAF).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59BB1" w14:textId="7C03582E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2AE18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74FD79FA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64E099" w14:textId="54296CA8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URS-3.1.11.34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093271" w14:textId="0A0B3940" w:rsidR="00AE7647" w:rsidRPr="00D31910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Nakrętki typu „flip off” powinny być przenoszone do pojemnika na nakrętki za pośrednictwem portu RTP. Otwarcie portu powinno być wykonywane przy użyciu rękawiczek klasy A (w warunkach LAF).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0B8E5" w14:textId="275AD002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20A9A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0DD2263E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E301C4" w14:textId="1CAC5B0C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URS-3.1.11.35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DB20F2" w14:textId="77777777" w:rsidR="00AE7647" w:rsidRPr="00D31910" w:rsidRDefault="00AE7647" w:rsidP="00AE7647">
            <w:pPr>
              <w:snapToGrid w:val="0"/>
              <w:spacing w:before="40" w:after="4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Podstawowe materiały opakowaniowe zostaną dostarczone do zakładu w następujący sposób:</w:t>
            </w:r>
          </w:p>
          <w:p w14:paraId="131610C7" w14:textId="07DF6075" w:rsidR="00AE7647" w:rsidRPr="00D31910" w:rsidRDefault="00AE7647" w:rsidP="00AE7647">
            <w:pPr>
              <w:pStyle w:val="Akapitzlist"/>
              <w:numPr>
                <w:ilvl w:val="0"/>
                <w:numId w:val="24"/>
              </w:numPr>
              <w:tabs>
                <w:tab w:val="left" w:pos="2586"/>
              </w:tabs>
              <w:snapToGrid w:val="0"/>
              <w:spacing w:before="40" w:after="4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Fiolki – bez pirogenów i wstępnie sterylizowane (RTU)</w:t>
            </w:r>
          </w:p>
          <w:p w14:paraId="6B274969" w14:textId="77777777" w:rsidR="00AE7647" w:rsidRPr="00D31910" w:rsidRDefault="00AE7647" w:rsidP="00AE7647">
            <w:pPr>
              <w:pStyle w:val="Akapitzlist"/>
              <w:numPr>
                <w:ilvl w:val="0"/>
                <w:numId w:val="24"/>
              </w:numPr>
              <w:tabs>
                <w:tab w:val="left" w:pos="2586"/>
              </w:tabs>
              <w:snapToGrid w:val="0"/>
              <w:spacing w:before="40" w:after="40"/>
              <w:ind w:left="50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Zatyczki – bez pirogenów i gotowe do sterylizacji (RTS) lub wstępnie sterylizowane (RTU)</w:t>
            </w:r>
          </w:p>
          <w:p w14:paraId="78C78BD9" w14:textId="2447A23A" w:rsidR="00AE7647" w:rsidRPr="00F312C2" w:rsidRDefault="00AE7647" w:rsidP="00AE7647">
            <w:pPr>
              <w:pStyle w:val="Akapitzlist"/>
              <w:numPr>
                <w:ilvl w:val="0"/>
                <w:numId w:val="24"/>
              </w:numPr>
              <w:tabs>
                <w:tab w:val="left" w:pos="2586"/>
              </w:tabs>
              <w:snapToGrid w:val="0"/>
              <w:spacing w:before="40" w:after="40"/>
              <w:ind w:left="504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Nakrętki typu flip off – gotowe do sterylizacji nakrętki (RTS) lub wstępnie wysterylizowane (RTU)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D0742" w14:textId="5B7F014E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C3962" w14:textId="0EA08B85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3121EC4C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A254D6" w14:textId="3DD61907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URS-3.1.11.36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D7F65" w14:textId="73A50E50" w:rsidR="00AE7647" w:rsidRPr="00BD0E10" w:rsidRDefault="00AE7647" w:rsidP="00AE7647">
            <w:pPr>
              <w:jc w:val="both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Zmiany formatu części lub montaż/demontaż powinny być wykonywane przy minimalnym ryzyku powstawania cząstek.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CFD82" w14:textId="1E74D6CA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670CB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7C1C8F64" w14:textId="77777777" w:rsidTr="00F312C2">
        <w:trPr>
          <w:trHeight w:val="284"/>
          <w:jc w:val="center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3E966E1" w14:textId="7F99A132" w:rsidR="00AE7647" w:rsidRPr="00F312C2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 w:themeColor="text1"/>
                <w:sz w:val="22"/>
              </w:rPr>
              <w:t>Napełnianie fiolek:</w:t>
            </w:r>
          </w:p>
        </w:tc>
      </w:tr>
      <w:tr w:rsidR="00AE7647" w:rsidRPr="00BD0E10" w14:paraId="17F21F96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D43B5" w14:textId="73D21043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URS-3.1.11.37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9B50F8" w14:textId="3EE6679A" w:rsidR="00AE7647" w:rsidRPr="00BD0E10" w:rsidRDefault="00AE7647" w:rsidP="00AE7647">
            <w:pPr>
              <w:jc w:val="both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Rozpakowywanie będzie odbywać się ręcznie – należy zaprojektować i wdrożyć system przenoszenia gotowych do użycia pojemników do maszyny w warunkach aseptycznych.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E083E" w14:textId="06FFF752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F1DAD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09930266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041666" w14:textId="53113FCC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URS-3.1.11.38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C1ECC" w14:textId="67CFBE52" w:rsidR="00AE7647" w:rsidRPr="00D31910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Projekt stacji paliwowej powinien ograniczać wpływ jednokierunkowego przepływu powietrza, aby uniknąć turbulencji podczas tankowania.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6467D" w14:textId="24BFB0C6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ADCBD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3397385E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F97181" w14:textId="62C69C5A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URS-3.1.11.39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44273" w14:textId="4B5A2FDC" w:rsidR="00AE7647" w:rsidRPr="00A5089A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Pompa perystaltyczna gwarantująca dokładność niewielkiej objętości napełniania podczas całego procesu napełniania. Pompa powinna spełniać </w:t>
            </w:r>
            <w:r>
              <w:rPr>
                <w:rFonts w:ascii="Arial" w:hAnsi="Arial"/>
                <w:color w:val="000000" w:themeColor="text1"/>
                <w:sz w:val="22"/>
              </w:rPr>
              <w:lastRenderedPageBreak/>
              <w:t>preferencje i standardy klienta. Ta pompa powinna być zalecana i dostarczana przez DOSTAWCĘ.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5EE6C" w14:textId="68ED674E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lastRenderedPageBreak/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88B5E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3DB1C5AB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C2B5C" w14:textId="0F97054B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URS-3.1.11.40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586494" w14:textId="5F33D5DF" w:rsidR="00AE7647" w:rsidRPr="00D31910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Wszystkie urządzenia niebędące częścią systemu SU, które mają kontakt z produktem, muszą nadawać się do sterylizacji w autoklawie.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75ADB" w14:textId="76A11132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55C46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40C9AB50" w14:textId="77777777" w:rsidTr="00512E50">
        <w:trPr>
          <w:trHeight w:val="284"/>
          <w:jc w:val="center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32AECC3" w14:textId="3F4C9569" w:rsidR="00AE7647" w:rsidRPr="00A334B4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 w:themeColor="text1"/>
                <w:sz w:val="22"/>
              </w:rPr>
              <w:t>Zakręcanie i uszczelnianie fiolek</w:t>
            </w:r>
          </w:p>
        </w:tc>
      </w:tr>
      <w:tr w:rsidR="00AE7647" w:rsidRPr="00BD0E10" w14:paraId="014EA67A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7DAAFF" w14:textId="2156BA6E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URS-3.1.11.41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15DDB8" w14:textId="06D9542B" w:rsidR="00AE7647" w:rsidRPr="00D31910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Należy dostarczyć zautomatyzowaną stację zamykającą do operacji zakręcania i uszczelniania fiolek.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79097" w14:textId="585D5EDE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2EC44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407AE8D5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AF5362" w14:textId="20ACE675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URS-3.1.11.42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1E93F7" w14:textId="515F8CB9" w:rsidR="00AE7647" w:rsidRPr="00D31910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Podczas procesu zamykania i zaciskania należy zminimalizować powstawanie cząstek.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F61DD" w14:textId="110D605D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A5426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72741986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2638ED" w14:textId="7C642122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URS-3.1.11.43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62C1DA" w14:textId="516CF5B4" w:rsidR="00AE7647" w:rsidRPr="00D31910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System automatycznego odrzucania – niekompletne fiolki (bez zatyczki lub nakrętki) są automatycznie odrzucane na szynie odprowadzającej. Powinny one być rejestrowane i śledzone przez „Rejestr przesunięć” w celu prawidłowej weryfikacji odrzuconych elementów. Oddzielny czujnik potwierdzający odrzucenie.  Wszystkie odrzucone pojemniki muszą być zbierane do pojemnika na odpady, zaprojektowanego tak, aby zapobiegać rozlaniu produktu lub zatrzymywać produkt w pojemniku w przypadku rozlania.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954C" w14:textId="493690F9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35AED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41DE3BE4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F2CBF9" w14:textId="3012012C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URS-3.1.11.44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87E40E" w14:textId="1587C068" w:rsidR="00AE7647" w:rsidRPr="00D31910" w:rsidRDefault="00AE7647" w:rsidP="00AE7647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Rozdzielenie taśmy przenośnika w celu uniknięcia ryzyka zanieczyszczenia krzyżowego z klasy D do klasy B.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4A357" w14:textId="5C3A4453" w:rsidR="00AE7647" w:rsidRPr="00F312C2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AE133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571E6E" w:rsidRPr="00BD0E10" w14:paraId="0EFCBB5D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C7DDEF" w14:textId="6716BE20" w:rsidR="00571E6E" w:rsidRPr="00BD0E10" w:rsidRDefault="00D31910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URS-3.1.11.45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9A0A5E" w14:textId="2DC8F280" w:rsidR="00571E6E" w:rsidRPr="00DA5A46" w:rsidRDefault="00571E6E" w:rsidP="00AE7647">
            <w:pPr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Maszyna powinna być wyposażona w dodatkowy ręczny system podnoszenia na wyjściu, służący do przenoszenia zestawów/tacek z napełnionymi fiolkami w pomieszczeniu napełniania (klasa B), który będzie używany w przypadku awarii taśmy przenośnika wyjściowego.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C8B3F" w14:textId="3A6CD646" w:rsidR="00571E6E" w:rsidRDefault="00571E6E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6B439" w14:textId="77777777" w:rsidR="00571E6E" w:rsidRPr="00BD0E10" w:rsidRDefault="00571E6E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5EFB533D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05AC09" w14:textId="0EBBE829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URS-3.1.11.46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A59BED" w14:textId="3C61646A" w:rsidR="00AE7647" w:rsidRPr="00BD0E10" w:rsidRDefault="00AE7647" w:rsidP="00AE7647">
            <w:pPr>
              <w:jc w:val="both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 xml:space="preserve">DOSTAWCA </w:t>
            </w:r>
            <w:r>
              <w:rPr>
                <w:rStyle w:val="alt-edited"/>
                <w:rFonts w:ascii="Arial" w:hAnsi="Arial"/>
                <w:color w:val="000000" w:themeColor="text1"/>
                <w:sz w:val="22"/>
              </w:rPr>
              <w:t>dostarcza dokładne</w:t>
            </w:r>
            <w:r>
              <w:rPr>
                <w:rFonts w:ascii="Arial" w:hAnsi="Arial"/>
                <w:color w:val="000000" w:themeColor="text1"/>
                <w:sz w:val="22"/>
              </w:rPr>
              <w:t xml:space="preserve"> wymagania dotyczące mediów (usług komunalnych) oraz specyfikację podłączenia.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BB7F4" w14:textId="4D647B58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CD1D8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35EA9C33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220D29" w14:textId="22729B90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URS-3.1.11.47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5FC393" w14:textId="24EDF63B" w:rsidR="00AE7647" w:rsidRPr="00BD0E10" w:rsidRDefault="00AE7647" w:rsidP="00AE7647">
            <w:pPr>
              <w:jc w:val="both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Podłączenie maszyny do mediów (usług komunalnych) odbędzie się pod nadzorem DOSTAWCY.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EA49C" w14:textId="22DCC579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DD615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0AD5C35F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FF02E7" w14:textId="5D9032A7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URS-3.1.11.48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F398D" w14:textId="4FAA3E37" w:rsidR="00AE7647" w:rsidRPr="00BD0E10" w:rsidRDefault="00AE7647" w:rsidP="00AE7647">
            <w:pPr>
              <w:jc w:val="both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snapToGrid w:val="0"/>
                <w:color w:val="000000" w:themeColor="text1"/>
                <w:sz w:val="22"/>
              </w:rPr>
              <w:t>System musi być wykonany z materiałów metalowych i niemetalowych, tak aby zminimalizować ryzyko utraty cząstek stałych w produkcie i w pomieszczeniu, w którym jest zainstalowany.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FA3C7" w14:textId="0A907905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ABCB2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6A4AF3F3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B38258" w14:textId="52A5537B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URS-3.1.11.49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9C3114" w14:textId="403D3D99" w:rsidR="00AE7647" w:rsidRPr="00BD0E10" w:rsidRDefault="00AE7647" w:rsidP="00AE7647">
            <w:pPr>
              <w:jc w:val="both"/>
              <w:rPr>
                <w:rFonts w:ascii="Arial" w:hAnsi="Arial" w:cs="Arial"/>
                <w:snapToGrid w:val="0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snapToGrid w:val="0"/>
                <w:color w:val="000000" w:themeColor="text1"/>
                <w:sz w:val="22"/>
              </w:rPr>
              <w:t>Wszystkie elementy mające bezpośredni kontakt z produktem lub podstawowymi materiałami opakowaniowymi są wykonane ze stali nierdzewnej AISI 316L.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38E34" w14:textId="637F61EC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334BC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46319E21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235038" w14:textId="250C8F99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URS-3.1.11.50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C943B2" w14:textId="580BE995" w:rsidR="00AE7647" w:rsidRPr="00BD0E10" w:rsidRDefault="00AE7647" w:rsidP="00AE7647">
            <w:pPr>
              <w:jc w:val="both"/>
              <w:rPr>
                <w:rFonts w:ascii="Arial" w:hAnsi="Arial" w:cs="Arial"/>
                <w:snapToGrid w:val="0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snapToGrid w:val="0"/>
                <w:color w:val="000000" w:themeColor="text1"/>
                <w:sz w:val="22"/>
              </w:rPr>
              <w:t>W przypadku elementów stalowych, które nie mają kontaktu z produktem, znajdujących się w pomieszczeniu farmaceutycznym (elementy zewnętrzne, konstrukcje nośne itp.), dopuszcza się stosowanie stali AISI 304L lub odpowiedniej; wymagane jest matowe wykończenie, wszystkie pozostałe materiały inne niż stalowe powinny być zgodne ze standardami DOSTAWCY.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6C4DB" w14:textId="28DC81EA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ABA16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0484E478" w14:textId="77777777" w:rsidTr="00C01E5D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C57103" w14:textId="0E43B22F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URS-3.1.11.51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D768D" w14:textId="5DAB4272" w:rsidR="00AE7647" w:rsidRPr="00BD0E10" w:rsidRDefault="00AE7647" w:rsidP="00AE7647">
            <w:pPr>
              <w:jc w:val="both"/>
              <w:rPr>
                <w:rFonts w:ascii="Arial" w:hAnsi="Arial" w:cs="Arial"/>
                <w:snapToGrid w:val="0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snapToGrid w:val="0"/>
                <w:color w:val="000000" w:themeColor="text1"/>
                <w:sz w:val="22"/>
              </w:rPr>
              <w:t>Chropowatość powierzchni styku produktu / pierwotnego opakowania Ra ≤ 0,6, elektropolerowane.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9DFCF" w14:textId="2E70A60E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BC0EC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1236C94F" w14:textId="77777777" w:rsidTr="00C01E5D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46AFAA" w14:textId="017D1D53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URS-3.1.11.52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DB90B" w14:textId="2662B4F2" w:rsidR="00AE7647" w:rsidRPr="002E31B5" w:rsidRDefault="00AE7647" w:rsidP="00AE7647">
            <w:pPr>
              <w:jc w:val="both"/>
              <w:rPr>
                <w:rFonts w:asciiTheme="majorHAnsi" w:hAnsiTheme="majorHAnsi" w:cstheme="majorBidi"/>
                <w:color w:val="0F4761" w:themeColor="accent1" w:themeShade="BF"/>
                <w:sz w:val="22"/>
                <w:szCs w:val="22"/>
              </w:rPr>
            </w:pPr>
            <w:r>
              <w:rPr>
                <w:rFonts w:ascii="Arial" w:hAnsi="Arial"/>
                <w:snapToGrid w:val="0"/>
                <w:color w:val="000000" w:themeColor="text1"/>
                <w:sz w:val="22"/>
              </w:rPr>
              <w:t>Współczynnik chropowatości powierzchni zewnętrznej Ra ≤ 1,6 µm, elektropolerowana.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09BE2" w14:textId="329F3BD5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9127C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58AFAA88" w14:textId="77777777" w:rsidTr="00C01E5D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0B1FB5" w14:textId="5F3252A5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URS-3.1.11.53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C30C0" w14:textId="5C0CE327" w:rsidR="00AE7647" w:rsidRPr="00BD0E10" w:rsidRDefault="00AE7647" w:rsidP="00AE7647">
            <w:pPr>
              <w:jc w:val="both"/>
              <w:rPr>
                <w:rFonts w:ascii="Arial" w:hAnsi="Arial" w:cs="Arial"/>
                <w:snapToGrid w:val="0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snapToGrid w:val="0"/>
                <w:color w:val="000000" w:themeColor="text1"/>
                <w:sz w:val="22"/>
              </w:rPr>
              <w:t>Wymagane są uszczelki, środki uszczelniające i smary (H1) zatwierdzone do stosowania w produkcji farmaceutycznej w przypadku części mających kontakt z produktem, wraz z certyfikatem FDA.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73952" w14:textId="21C71E91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EFD7D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60138D0E" w14:textId="77777777" w:rsidTr="00C01E5D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BE4AB" w14:textId="638AE4C3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URS-3.1.11.54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05827" w14:textId="27C2EA7B" w:rsidR="00AE7647" w:rsidRPr="00BD0E10" w:rsidRDefault="00AE7647" w:rsidP="00AE7647">
            <w:pPr>
              <w:jc w:val="both"/>
              <w:rPr>
                <w:rFonts w:ascii="Arial" w:hAnsi="Arial" w:cs="Arial"/>
                <w:snapToGrid w:val="0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snapToGrid w:val="0"/>
                <w:color w:val="000000" w:themeColor="text1"/>
                <w:sz w:val="22"/>
              </w:rPr>
              <w:t>Materiał niemetalowy musi być odporny na temperaturę roboczą systemu, a także na rozpuszczalniki, detergenty i środki dezynfekujące stosowane zwykle w cyklu produkcyjnym.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29673" w14:textId="6EEC5F63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2A227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727DABD6" w14:textId="77777777" w:rsidTr="00C01E5D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66E239" w14:textId="16BEC633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URS-3.1.11.55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018151" w14:textId="1D3ADFDD" w:rsidR="00AE7647" w:rsidRPr="00BD0E10" w:rsidRDefault="00AE7647" w:rsidP="00AE7647">
            <w:pPr>
              <w:jc w:val="both"/>
              <w:rPr>
                <w:rFonts w:ascii="Arial" w:hAnsi="Arial" w:cs="Arial"/>
                <w:snapToGrid w:val="0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 przypadku wszystkich materiałów użytych do budowy maszyn należy dostarczyć certyfikaty materiałowe i higieniczne oraz dołączyć je do dokumentacji dotyczącej części mających kontakt z produktem i materiałów opakowaniowych pierwotnych.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AEDC0" w14:textId="7D145A70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F92BF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4F52FFB1" w14:textId="77777777" w:rsidTr="00C01E5D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45FCA" w14:textId="6752852F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URS-3.1.11.56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9B96C2" w14:textId="757329D4" w:rsidR="00AE7647" w:rsidRPr="00BD0E10" w:rsidRDefault="00AE7647" w:rsidP="00AE7647">
            <w:pPr>
              <w:jc w:val="both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Wszystkie elementy wykonane z materiałów metalowych muszą posiadać certyfikat dla części mających kontakt z produktem i materiałów opakowaniowych pierwotnych, który gwarantuje identyfikowalność.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36A2B" w14:textId="10DE7619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CB75B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08D876CF" w14:textId="77777777" w:rsidTr="00C01E5D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C9399" w14:textId="3047F520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URS-3.1.11.57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A7414D" w14:textId="2266EABE" w:rsidR="00AE7647" w:rsidRPr="00BD0E10" w:rsidRDefault="00AE7647" w:rsidP="00AE7647">
            <w:pPr>
              <w:jc w:val="both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Wszystkie używane tworzywa sztuczne / termoplastyczne muszą posiadać certyfikat potwierdzający zgodność z wymogami FDA 21 CFR.177 dotyczącymi części mających kontakt z produktem i materiałów opakowań pierwotnych.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11651" w14:textId="416556DA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1F81F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1B0BDC33" w14:textId="77777777" w:rsidTr="00C01E5D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7BC9D" w14:textId="5E77E22A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URS-3.1.11.58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B9B43" w14:textId="61484247" w:rsidR="00AE7647" w:rsidRPr="00BD0E10" w:rsidRDefault="00AE7647" w:rsidP="00AE7647">
            <w:pPr>
              <w:jc w:val="both"/>
              <w:rPr>
                <w:rFonts w:ascii="Arial" w:hAnsi="Arial" w:cs="Arial"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snapToGrid w:val="0"/>
                <w:color w:val="000000" w:themeColor="text1"/>
                <w:sz w:val="22"/>
              </w:rPr>
              <w:t>Wszystkie zastosowane materiały nie mogą uwalniać cząstek ani włókien, które mogłyby zanieczyścić produkt.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05D71" w14:textId="67C1C4C1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D7485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1FDF5B45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9F6910" w14:textId="17DBCCF5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URS-3.1.11.59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8E6E3E" w14:textId="3FCD0416" w:rsidR="00AE7647" w:rsidRPr="00BD0E10" w:rsidRDefault="00AE7647" w:rsidP="00AE7647">
            <w:pPr>
              <w:pStyle w:val="Default"/>
              <w:jc w:val="both"/>
              <w:rPr>
                <w:noProof/>
                <w:sz w:val="22"/>
                <w:szCs w:val="22"/>
              </w:rPr>
            </w:pPr>
            <w:r>
              <w:rPr>
                <w:color w:val="auto"/>
                <w:sz w:val="22"/>
              </w:rPr>
              <w:t xml:space="preserve">Źródło zasilania: </w:t>
            </w:r>
            <w:r>
              <w:rPr>
                <w:sz w:val="22"/>
              </w:rPr>
              <w:t xml:space="preserve">200–240 V AC 50/60 Hz + PE maks. </w:t>
            </w:r>
            <w:r>
              <w:rPr>
                <w:color w:val="auto"/>
                <w:sz w:val="22"/>
              </w:rPr>
              <w:t>20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1BC9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4C4D0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52F58B34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AC764A" w14:textId="707D2314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URS-3.1.11.60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42D551" w14:textId="4F104A0C" w:rsidR="00AE7647" w:rsidRPr="00BD0E10" w:rsidRDefault="00AE7647" w:rsidP="00AE7647">
            <w:pPr>
              <w:pStyle w:val="Default"/>
              <w:jc w:val="both"/>
              <w:rPr>
                <w:noProof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Kompatybilność pojemników – fiolki plastikowe i szklane.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E5580" w14:textId="51D970BE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25F0F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036195EF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600C4" w14:textId="6EDD0465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URS-3.1.11.61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D82363" w14:textId="01362626" w:rsidR="00AE7647" w:rsidRPr="00AE35B3" w:rsidRDefault="00AE7647" w:rsidP="00AE7647">
            <w:pPr>
              <w:pStyle w:val="Default"/>
              <w:jc w:val="both"/>
              <w:rPr>
                <w:noProof/>
                <w:sz w:val="22"/>
                <w:szCs w:val="22"/>
              </w:rPr>
            </w:pPr>
            <w:r>
              <w:rPr>
                <w:sz w:val="22"/>
              </w:rPr>
              <w:t>Brak fiolki – czujnik braku napełnienia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2720A" w14:textId="62C802AA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44616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1684CFC7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87CBCF" w14:textId="3921D605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URS-3.1.11.62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A2C53A" w14:textId="3C32376E" w:rsidR="00AE7647" w:rsidRPr="00BD0E10" w:rsidRDefault="00AE7647" w:rsidP="00AE7647">
            <w:pPr>
              <w:pStyle w:val="Default"/>
              <w:jc w:val="both"/>
              <w:rPr>
                <w:noProof/>
                <w:sz w:val="22"/>
                <w:szCs w:val="22"/>
              </w:rPr>
            </w:pPr>
            <w:r>
              <w:rPr>
                <w:sz w:val="22"/>
              </w:rPr>
              <w:t>Maszyna do napełniania musi działać w zamkniętym środowisku RABS.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513D1" w14:textId="0E9E4A04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61949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4E676C12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E886AE" w14:textId="7FAC72B1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URS-3.1.11.63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83A9D1" w14:textId="1C82B7BE" w:rsidR="00AE7647" w:rsidRPr="00BD0E10" w:rsidRDefault="00AE7647" w:rsidP="00AE7647">
            <w:pPr>
              <w:pStyle w:val="Default"/>
              <w:jc w:val="both"/>
              <w:rPr>
                <w:noProof/>
                <w:sz w:val="22"/>
                <w:szCs w:val="22"/>
              </w:rPr>
            </w:pPr>
            <w:r>
              <w:rPr>
                <w:sz w:val="22"/>
              </w:rPr>
              <w:t>Preferowana funkcja CIP/SIP (czyszczenie na miejscu/sterylizacja na miejscu).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66562" w14:textId="2B4EF675" w:rsidR="00AE7647" w:rsidRPr="00BD0E10" w:rsidRDefault="008F6CEF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C2BC0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622B0C39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D2333" w14:textId="6CD64D8C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URS-3.1.11.64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FC19F2" w14:textId="6E43E945" w:rsidR="00AE7647" w:rsidRPr="00BD0E10" w:rsidRDefault="00AE7647" w:rsidP="00AE7647">
            <w:pPr>
              <w:pStyle w:val="Default"/>
              <w:jc w:val="both"/>
              <w:rPr>
                <w:noProof/>
                <w:sz w:val="22"/>
                <w:szCs w:val="22"/>
              </w:rPr>
            </w:pPr>
            <w:r>
              <w:rPr>
                <w:sz w:val="22"/>
              </w:rPr>
              <w:t>Wyposażenie w filtr HEPA (jednokierunkowy przepływ powietrza klasy 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C1828" w14:textId="3E58ECFC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775B2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2ACC949E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3A4E4" w14:textId="4FC12150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URS-3.1.11.65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99AC5" w14:textId="6CFA2693" w:rsidR="00AE7647" w:rsidRPr="00BD0E10" w:rsidRDefault="00AE7647" w:rsidP="00AE7647">
            <w:pPr>
              <w:pStyle w:val="Default"/>
              <w:jc w:val="both"/>
              <w:rPr>
                <w:noProof/>
                <w:sz w:val="22"/>
                <w:szCs w:val="22"/>
              </w:rPr>
            </w:pPr>
            <w:r>
              <w:rPr>
                <w:sz w:val="22"/>
              </w:rPr>
              <w:t>Nieniszcząca, statystyczna weryfikacja masy w trakcie procesu w celu zapewnienia dokładności dawki.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3262D" w14:textId="7365C5A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C3F14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39A2027B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62A01D" w14:textId="7643D339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URS-3.1.11.66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A5682E" w14:textId="2B5CECEB" w:rsidR="00AE7647" w:rsidRPr="00BD0E10" w:rsidRDefault="00AE7647" w:rsidP="00AE7647">
            <w:pPr>
              <w:pStyle w:val="Default"/>
              <w:jc w:val="both"/>
              <w:rPr>
                <w:noProof/>
                <w:sz w:val="22"/>
                <w:szCs w:val="22"/>
              </w:rPr>
            </w:pPr>
            <w:r>
              <w:rPr>
                <w:sz w:val="22"/>
              </w:rPr>
              <w:t>Przepływ liniowy fiolki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A78E9" w14:textId="5B4FAD14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D786F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34A5A053" w14:textId="77777777" w:rsidTr="00D71F90">
        <w:trPr>
          <w:trHeight w:val="284"/>
          <w:jc w:val="center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BD3BA2" w14:textId="77777777" w:rsidR="00AE7647" w:rsidRPr="00BD0E10" w:rsidRDefault="00AE7647" w:rsidP="00AE7647">
            <w:pPr>
              <w:snapToGrid w:val="0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3.1.12. Lista dostawy</w:t>
            </w:r>
          </w:p>
        </w:tc>
      </w:tr>
      <w:tr w:rsidR="00AE7647" w:rsidRPr="00BD0E10" w14:paraId="43B182D2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046E43" w14:textId="77777777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URS-3.1.12.01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06DF93" w14:textId="5C0110DB" w:rsidR="00AE7647" w:rsidRPr="00BD0E10" w:rsidRDefault="00AE7647" w:rsidP="00AE7647">
            <w:pPr>
              <w:pStyle w:val="Default"/>
              <w:jc w:val="both"/>
              <w:rPr>
                <w:noProof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Gwarancja: co najmniej 2 lata.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BDF12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3FD1A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564D7A4B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F48ADC" w14:textId="77777777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URS-3.1.12.02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7FC1DC" w14:textId="63593782" w:rsidR="00AE7647" w:rsidRPr="00BD0E10" w:rsidRDefault="00AE7647" w:rsidP="00AE7647">
            <w:pPr>
              <w:pStyle w:val="Default"/>
              <w:jc w:val="both"/>
              <w:rPr>
                <w:noProof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>Dostawa części zamiennych (części produkowanych przez dostawcę) musi być zagwarantowana przez co najmniej 7 lat od momentu instalacji sprzętu.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CE7A5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DAF5F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6AC4570E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598495" w14:textId="77777777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URS-3.1.12.03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404A35" w14:textId="0CBA360B" w:rsidR="00AE7647" w:rsidRPr="00BD0E10" w:rsidRDefault="00AE7647" w:rsidP="00AE7647">
            <w:pPr>
              <w:pStyle w:val="Default"/>
              <w:jc w:val="both"/>
              <w:rPr>
                <w:noProof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 xml:space="preserve">Wsparcie techniczne od dostawcy, jeśli </w:t>
            </w:r>
            <w:r>
              <w:rPr>
                <w:color w:val="000000" w:themeColor="text1"/>
                <w:sz w:val="22"/>
              </w:rPr>
              <w:t>maszyna do napełniania/wykańczania zainstalowana w systemie ograniczonego dostępu</w:t>
            </w:r>
            <w:r>
              <w:rPr>
                <w:color w:val="auto"/>
                <w:sz w:val="22"/>
              </w:rPr>
              <w:t xml:space="preserve"> lub jej części są uszkodzone, musi być zapewnione w ciągu 48 godzin.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B9351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3E27B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17E58712" w14:textId="77777777" w:rsidTr="00D71F90">
        <w:trPr>
          <w:trHeight w:val="284"/>
          <w:jc w:val="center"/>
        </w:trPr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4CB424" w14:textId="77777777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URS-3.1.12.04</w:t>
            </w:r>
          </w:p>
        </w:tc>
        <w:tc>
          <w:tcPr>
            <w:tcW w:w="50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A78CE3" w14:textId="77777777" w:rsidR="00AE7647" w:rsidRPr="00BD0E10" w:rsidRDefault="00AE7647" w:rsidP="00AE7647">
            <w:pPr>
              <w:pStyle w:val="Default"/>
              <w:jc w:val="both"/>
              <w:rPr>
                <w:noProof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</w:rPr>
              <w:t xml:space="preserve">W przypadku awarii dostawca musi zapewnić doradztwo techniczne i pomoc w okresie gwarancyjnym i po jego upływie.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4C910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7E694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  <w:lang w:val="en-US"/>
              </w:rPr>
            </w:pPr>
          </w:p>
        </w:tc>
      </w:tr>
      <w:tr w:rsidR="00AE7647" w:rsidRPr="00BD0E10" w14:paraId="2CD333C9" w14:textId="77777777" w:rsidTr="00D71F90">
        <w:trPr>
          <w:trHeight w:val="284"/>
          <w:jc w:val="center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7B8611" w14:textId="77777777" w:rsidR="00AE7647" w:rsidRPr="00BD0E10" w:rsidRDefault="00AE7647" w:rsidP="00AE7647">
            <w:pPr>
              <w:snapToGrid w:val="0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3.1.13. Wymagania dotyczące wydajności</w:t>
            </w:r>
          </w:p>
        </w:tc>
      </w:tr>
      <w:tr w:rsidR="00AE7647" w:rsidRPr="00BD0E10" w14:paraId="75781683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744B3C" w14:textId="6D240A9B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URS-3.1.13.01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76F9B7" w14:textId="1B811392" w:rsidR="00AE7647" w:rsidRPr="00BD0E10" w:rsidRDefault="00AE7647" w:rsidP="00AE7647">
            <w:pPr>
              <w:pStyle w:val="Default"/>
              <w:jc w:val="both"/>
              <w:rPr>
                <w:noProof/>
                <w:color w:val="auto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Maszyna do napełniania rozlewa zawiesinę komórek macierzystych, dostarczaną w workach SU, do fiolek 2R.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6AECF" w14:textId="4B548DBA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D000F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AE7647" w:rsidRPr="00BD0E10" w14:paraId="74228100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496899" w14:textId="5BC7E143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URS-3.1.13.02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3E8C92" w14:textId="112CB221" w:rsidR="00AE7647" w:rsidRPr="00BD0E10" w:rsidRDefault="00AE7647" w:rsidP="00AE7647">
            <w:pPr>
              <w:pStyle w:val="Default"/>
              <w:jc w:val="both"/>
              <w:rPr>
                <w:noProof/>
                <w:color w:val="auto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Początkowa wielkość partii wyniesie 1000 fiolek, a docelowa 3000 fiolek.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3B8D2" w14:textId="05CDFD0E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62CD3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AE7647" w:rsidRPr="00BD0E10" w14:paraId="0BB45BDB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B833DF" w14:textId="6D36ADCB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URS-3.1.13.03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AAB60D" w14:textId="32E2D13E" w:rsidR="00AE7647" w:rsidRPr="00BD0E10" w:rsidRDefault="00AE7647" w:rsidP="00AE7647">
            <w:pPr>
              <w:pStyle w:val="Default"/>
              <w:jc w:val="both"/>
              <w:rPr>
                <w:noProof/>
                <w:color w:val="auto"/>
                <w:sz w:val="22"/>
                <w:szCs w:val="22"/>
              </w:rPr>
            </w:pPr>
            <w:r>
              <w:rPr>
                <w:sz w:val="22"/>
              </w:rPr>
              <w:t xml:space="preserve">Musi być w stanie napełnić 1,11 ml produktami o objętości od 1,10 do 1,12 ml. </w:t>
            </w:r>
            <w:r>
              <w:rPr>
                <w:color w:val="000000" w:themeColor="text1"/>
                <w:sz w:val="22"/>
              </w:rPr>
              <w:t>Sekcja napełniania i zamykania musi mieć co najmniej 2 stanowiska.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6C180" w14:textId="4A71A574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A2EDA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AE7647" w:rsidRPr="00BD0E10" w14:paraId="7E831002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46D96" w14:textId="42BF0552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URS-3.1.13.04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CCF6D9" w14:textId="641F9929" w:rsidR="00AE7647" w:rsidRPr="00BD0E10" w:rsidRDefault="00AE7647" w:rsidP="00AE764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color w:val="auto"/>
                <w:sz w:val="22"/>
              </w:rPr>
              <w:t>Dokładność napełniania ±1%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6B721" w14:textId="04E522CB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C2DBA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AE7647" w:rsidRPr="00BD0E10" w14:paraId="7555276F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11CCFF" w14:textId="5B6B3B8F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URS-3.1.13.05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20810" w14:textId="093C38BA" w:rsidR="00AE7647" w:rsidRPr="00BD0E10" w:rsidRDefault="00AE7647" w:rsidP="00AE7647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Zainstalowany typ pompy – pompa perystaltyczna z jednorazowymi rurkami.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C14D8" w14:textId="65747C71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883CC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AE7647" w:rsidRPr="00BD0E10" w14:paraId="4943D2FC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622042" w14:textId="50DB24DD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URS-3.1.13.06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7C55CD" w14:textId="61AE9C54" w:rsidR="00AE7647" w:rsidRPr="00BD0E10" w:rsidRDefault="00AE7647" w:rsidP="00AE7647">
            <w:pPr>
              <w:pStyle w:val="NormalnyWeb"/>
              <w:rPr>
                <w:rFonts w:ascii="Arial" w:hAnsi="Arial" w:cs="Arial"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Podczas procesu napełniania będą używane elementy jednorazowego użytku (rurki i dysze).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45A6F" w14:textId="40D6EBD1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E40AC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AE7647" w:rsidRPr="00BD0E10" w14:paraId="13AEA8E2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A0CF5C" w14:textId="121037A0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URS-3.1.13.07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3FB4FD" w14:textId="04F72037" w:rsidR="00AE7647" w:rsidRPr="00BD0E10" w:rsidRDefault="00AE7647" w:rsidP="00AE7647">
            <w:pPr>
              <w:pStyle w:val="NormalnyWeb"/>
              <w:rPr>
                <w:rFonts w:ascii="Arial" w:hAnsi="Arial" w:cs="Arial"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Linia napełniania musi być wyposażona w system recyrkulacji, aby zapobiec sedymentacji zawiesiny.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F536F" w14:textId="102198EE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09706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AE7647" w:rsidRPr="00BD0E10" w14:paraId="7CE18D78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B240E" w14:textId="652423C0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URS-3.1.13.08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92F7DE" w14:textId="756B3B07" w:rsidR="00AE7647" w:rsidRPr="00BD0E10" w:rsidRDefault="00AE7647" w:rsidP="00AE7647">
            <w:pPr>
              <w:pStyle w:val="NormalnyWeb"/>
              <w:rPr>
                <w:rFonts w:ascii="Arial" w:hAnsi="Arial" w:cs="Arial"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Rozmiar fiolki: 2R. Szklane i plastikowe fiolki</w:t>
            </w:r>
            <w:r>
              <w:rPr>
                <w:rFonts w:ascii="Arial" w:hAnsi="Arial"/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BBDC3" w14:textId="4A01F8D8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BD1F0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AE7647" w:rsidRPr="00BD0E10" w14:paraId="569E524B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D61ABB" w14:textId="4E3D8D1E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URS-3.1.13.09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C62B5" w14:textId="1062CB2C" w:rsidR="00AE7647" w:rsidRPr="00BD0E10" w:rsidRDefault="00AE7647" w:rsidP="00AE7647">
            <w:pPr>
              <w:pStyle w:val="NormalnyWeb"/>
              <w:rPr>
                <w:rFonts w:ascii="Arial" w:hAnsi="Arial" w:cs="Arial"/>
                <w:noProof/>
                <w:color w:val="EE0000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Linia napełniania musi być zaprojektowana tak, aby umożliwić przyszłą kompatybilność z fiolkami 4R do 10R.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38D5F" w14:textId="4199DBFD" w:rsidR="00AE7647" w:rsidRPr="00BD0E10" w:rsidRDefault="00955DDA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36AA1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  <w:tr w:rsidR="00AE7647" w:rsidRPr="00BD0E10" w14:paraId="0B0E68A4" w14:textId="77777777" w:rsidTr="00D71F90">
        <w:trPr>
          <w:trHeight w:val="284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82BD1E" w14:textId="1AA516D7" w:rsidR="00AE7647" w:rsidRPr="00BD0E10" w:rsidRDefault="00AE7647" w:rsidP="00AE7647">
            <w:pPr>
              <w:snapToGri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URS-3.1.13.10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84CF0A" w14:textId="1DC86D62" w:rsidR="00AE7647" w:rsidRPr="00BD0E10" w:rsidRDefault="00AE7647" w:rsidP="00AE7647">
            <w:pPr>
              <w:pStyle w:val="Default"/>
              <w:jc w:val="both"/>
              <w:rPr>
                <w:noProof/>
                <w:color w:val="FF0000"/>
                <w:sz w:val="22"/>
                <w:szCs w:val="22"/>
              </w:rPr>
            </w:pPr>
            <w:r>
              <w:rPr>
                <w:color w:val="auto"/>
                <w:sz w:val="22"/>
              </w:rPr>
              <w:t>Minimalna wydajność produkcyjna 50 sztuk na minutę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79ADB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hAnsi="Arial" w:cs="Arial"/>
                <w:bCs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D980A" w14:textId="77777777" w:rsidR="00AE7647" w:rsidRPr="00BD0E10" w:rsidRDefault="00AE7647" w:rsidP="00AE7647">
            <w:pPr>
              <w:pStyle w:val="Tekstpodstawowy3"/>
              <w:snapToGrid w:val="0"/>
              <w:spacing w:after="0"/>
              <w:jc w:val="center"/>
              <w:rPr>
                <w:rFonts w:ascii="Arial" w:eastAsia="Calibri" w:hAnsi="Arial" w:cs="Arial"/>
                <w:noProof/>
                <w:color w:val="000000"/>
                <w:sz w:val="22"/>
                <w:szCs w:val="22"/>
                <w:lang w:val="en-US" w:eastAsia="lt-LT"/>
              </w:rPr>
            </w:pPr>
          </w:p>
        </w:tc>
      </w:tr>
    </w:tbl>
    <w:p w14:paraId="2EEA15AB" w14:textId="77777777" w:rsidR="00497557" w:rsidRPr="00497557" w:rsidRDefault="00497557" w:rsidP="00497557">
      <w:bookmarkStart w:id="3" w:name="_Toc257707964"/>
      <w:bookmarkStart w:id="4" w:name="_Toc61009918"/>
      <w:bookmarkStart w:id="5" w:name="_Toc189662116"/>
    </w:p>
    <w:p w14:paraId="7E4B67D1" w14:textId="2A69D27B" w:rsidR="009456FB" w:rsidRPr="00BD0E10" w:rsidRDefault="009456FB" w:rsidP="009456FB">
      <w:pPr>
        <w:pStyle w:val="Nagwek1"/>
        <w:keepNext w:val="0"/>
        <w:widowControl w:val="0"/>
        <w:numPr>
          <w:ilvl w:val="0"/>
          <w:numId w:val="2"/>
        </w:numPr>
        <w:suppressAutoHyphens/>
        <w:spacing w:before="240"/>
        <w:ind w:left="567" w:hanging="567"/>
        <w:jc w:val="both"/>
        <w:rPr>
          <w:rFonts w:ascii="Arial" w:hAnsi="Arial" w:cs="Arial"/>
          <w:b/>
          <w:bCs/>
          <w:caps/>
          <w:noProof/>
          <w:color w:val="auto"/>
          <w:sz w:val="22"/>
          <w:szCs w:val="22"/>
        </w:rPr>
      </w:pPr>
      <w:bookmarkStart w:id="6" w:name="_Toc257707965"/>
      <w:bookmarkStart w:id="7" w:name="_Toc61009919"/>
      <w:bookmarkStart w:id="8" w:name="_Toc189662117"/>
      <w:bookmarkEnd w:id="3"/>
      <w:bookmarkEnd w:id="4"/>
      <w:bookmarkEnd w:id="5"/>
      <w:r>
        <w:rPr>
          <w:rFonts w:ascii="Arial" w:hAnsi="Arial"/>
          <w:b/>
          <w:caps/>
          <w:color w:val="auto"/>
          <w:sz w:val="22"/>
        </w:rPr>
        <w:t>Definicje i skróty</w:t>
      </w:r>
      <w:bookmarkEnd w:id="6"/>
      <w:bookmarkEnd w:id="7"/>
      <w:bookmarkEnd w:id="8"/>
    </w:p>
    <w:p w14:paraId="2DDAAC32" w14:textId="77777777" w:rsidR="009456FB" w:rsidRPr="00BD0E10" w:rsidRDefault="009456FB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  <w:vertAlign w:val="superscript"/>
        </w:rPr>
        <w:t>0</w:t>
      </w:r>
      <w:r>
        <w:rPr>
          <w:rFonts w:ascii="Arial" w:hAnsi="Arial"/>
          <w:sz w:val="22"/>
        </w:rPr>
        <w:t>C – stopień Celsjusza</w:t>
      </w:r>
    </w:p>
    <w:p w14:paraId="721B1EE5" w14:textId="6F1E726C" w:rsidR="00D71F90" w:rsidRDefault="00D71F90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CE – zgodność z normami europejskimi</w:t>
      </w:r>
    </w:p>
    <w:p w14:paraId="026B64C3" w14:textId="7749B688" w:rsidR="002B2DED" w:rsidRPr="00BD0E10" w:rsidRDefault="002B2DED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DQ – Kwalifikacja projektu</w:t>
      </w:r>
    </w:p>
    <w:p w14:paraId="390CC9F7" w14:textId="77777777" w:rsidR="009456FB" w:rsidRDefault="009456FB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UE – Unia Europejska</w:t>
      </w:r>
    </w:p>
    <w:p w14:paraId="0BE4C7E9" w14:textId="18986704" w:rsidR="00EF4574" w:rsidRPr="00BD0E10" w:rsidRDefault="00EF4574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EMS – System monitorowania środowiska</w:t>
      </w:r>
    </w:p>
    <w:p w14:paraId="3AACCD5E" w14:textId="77777777" w:rsidR="009456FB" w:rsidRDefault="009456FB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FDA – Agencja ds. Żywności i Leków</w:t>
      </w:r>
    </w:p>
    <w:p w14:paraId="62A4235B" w14:textId="1A8EE317" w:rsidR="00EF4574" w:rsidRPr="00BD0E10" w:rsidRDefault="00EF4574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FAT – Test akceptacji czynnika</w:t>
      </w:r>
    </w:p>
    <w:p w14:paraId="124F5150" w14:textId="77777777" w:rsidR="009456FB" w:rsidRDefault="009456FB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GMP – Dobra praktyka wytwarzania</w:t>
      </w:r>
    </w:p>
    <w:p w14:paraId="63CD5512" w14:textId="0B8F3AB7" w:rsidR="003932A7" w:rsidRPr="00BD0E10" w:rsidRDefault="003932A7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GIT – tester integralności rękawic</w:t>
      </w:r>
    </w:p>
    <w:p w14:paraId="07EF2C74" w14:textId="77777777" w:rsidR="009456FB" w:rsidRPr="00BD0E10" w:rsidRDefault="009456FB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Hz – Hertz</w:t>
      </w:r>
    </w:p>
    <w:p w14:paraId="15036B8C" w14:textId="63437D6D" w:rsidR="00D71F90" w:rsidRPr="00BD0E10" w:rsidRDefault="00D71F90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HMI – interfejs człowiek-maszyna</w:t>
      </w:r>
    </w:p>
    <w:p w14:paraId="7D890F11" w14:textId="77777777" w:rsidR="009456FB" w:rsidRPr="00BD0E10" w:rsidRDefault="009456FB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IQ – kwalifikacja instalacji</w:t>
      </w:r>
    </w:p>
    <w:p w14:paraId="0E13F079" w14:textId="77777777" w:rsidR="009456FB" w:rsidRPr="00BD0E10" w:rsidRDefault="009456FB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K - Kelwin</w:t>
      </w:r>
    </w:p>
    <w:p w14:paraId="2DFCF7A6" w14:textId="77777777" w:rsidR="009456FB" w:rsidRPr="00BD0E10" w:rsidRDefault="009456FB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L – litr</w:t>
      </w:r>
    </w:p>
    <w:p w14:paraId="5CB55CCA" w14:textId="77777777" w:rsidR="009456FB" w:rsidRPr="00BD0E10" w:rsidRDefault="009456FB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Min - minuta</w:t>
      </w:r>
    </w:p>
    <w:p w14:paraId="34B5A825" w14:textId="77777777" w:rsidR="009456FB" w:rsidRPr="00BD0E10" w:rsidRDefault="009456FB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mm – milimetr</w:t>
      </w:r>
    </w:p>
    <w:p w14:paraId="0BF7C696" w14:textId="244F27E7" w:rsidR="00D71F90" w:rsidRPr="00BD0E10" w:rsidRDefault="00D71F90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mL – mililitr</w:t>
      </w:r>
    </w:p>
    <w:p w14:paraId="38006976" w14:textId="77777777" w:rsidR="009456FB" w:rsidRPr="00BD0E10" w:rsidRDefault="009456FB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Nd. – Nie dotyczy</w:t>
      </w:r>
    </w:p>
    <w:p w14:paraId="01BA4C34" w14:textId="3129B17B" w:rsidR="00D71F90" w:rsidRDefault="00D71F90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PLC – Programowalny sterownik logiczny</w:t>
      </w:r>
    </w:p>
    <w:p w14:paraId="58F1B17A" w14:textId="2DC6649E" w:rsidR="003932A7" w:rsidRDefault="003932A7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PMS – System monitorowania cząstek</w:t>
      </w:r>
    </w:p>
    <w:p w14:paraId="65AAEE65" w14:textId="6BC48597" w:rsidR="00EF4574" w:rsidRPr="00BD0E10" w:rsidRDefault="00EF4574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SAT – Test odbiorczy w obiekcie</w:t>
      </w:r>
    </w:p>
    <w:p w14:paraId="38CEBD50" w14:textId="3FE9B586" w:rsidR="00374E08" w:rsidRPr="00BD0E10" w:rsidRDefault="00374E08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SCADA – Nadzór, kontrola i gromadzenie danych</w:t>
      </w:r>
    </w:p>
    <w:p w14:paraId="4B6A33CB" w14:textId="68E09524" w:rsidR="00502226" w:rsidRPr="00BD0E10" w:rsidRDefault="00502226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RABS – System barier ograniczających dostęp</w:t>
      </w:r>
    </w:p>
    <w:p w14:paraId="02DA9B6E" w14:textId="77777777" w:rsidR="009456FB" w:rsidRPr="00BD0E10" w:rsidRDefault="009456FB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OQ – Kwalifikacja operacyjna</w:t>
      </w:r>
    </w:p>
    <w:p w14:paraId="178969FC" w14:textId="77777777" w:rsidR="009456FB" w:rsidRPr="00BD0E10" w:rsidRDefault="009456FB" w:rsidP="009456FB">
      <w:pPr>
        <w:widowControl w:val="0"/>
        <w:ind w:left="567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/>
          <w:sz w:val="22"/>
        </w:rPr>
        <w:t>URS – Specyfikacja wymagań użytkownika</w:t>
      </w:r>
    </w:p>
    <w:p w14:paraId="0DB3A3AC" w14:textId="77777777" w:rsidR="009456FB" w:rsidRPr="002342DB" w:rsidRDefault="009456FB" w:rsidP="009456FB">
      <w:pPr>
        <w:widowControl w:val="0"/>
        <w:ind w:left="567"/>
        <w:jc w:val="both"/>
        <w:rPr>
          <w:rFonts w:ascii="Arial" w:hAnsi="Arial" w:cs="Arial"/>
          <w:noProof/>
          <w:sz w:val="22"/>
        </w:rPr>
      </w:pPr>
      <w:r>
        <w:rPr>
          <w:rFonts w:ascii="Arial" w:hAnsi="Arial"/>
          <w:sz w:val="22"/>
        </w:rPr>
        <w:t>V – Wolt</w:t>
      </w:r>
    </w:p>
    <w:p w14:paraId="014F25D0" w14:textId="77777777" w:rsidR="0097063C" w:rsidRDefault="0097063C"/>
    <w:sectPr w:rsidR="0097063C" w:rsidSect="009706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701" w:right="567" w:bottom="1134" w:left="1701" w:header="283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15D76" w14:textId="77777777" w:rsidR="002B4B98" w:rsidRDefault="002B4B98" w:rsidP="00E56E24">
      <w:r>
        <w:separator/>
      </w:r>
    </w:p>
  </w:endnote>
  <w:endnote w:type="continuationSeparator" w:id="0">
    <w:p w14:paraId="1D2A1E1D" w14:textId="77777777" w:rsidR="002B4B98" w:rsidRDefault="002B4B98" w:rsidP="00E56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C9F10" w14:textId="77777777" w:rsidR="00F2033E" w:rsidRDefault="00F203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57321" w14:textId="77777777" w:rsidR="00F2033E" w:rsidRDefault="00F203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7FD5A" w14:textId="77777777" w:rsidR="00F2033E" w:rsidRDefault="00F203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622CF" w14:textId="77777777" w:rsidR="002B4B98" w:rsidRDefault="002B4B98" w:rsidP="00E56E24">
      <w:r>
        <w:separator/>
      </w:r>
    </w:p>
  </w:footnote>
  <w:footnote w:type="continuationSeparator" w:id="0">
    <w:p w14:paraId="56752354" w14:textId="77777777" w:rsidR="002B4B98" w:rsidRDefault="002B4B98" w:rsidP="00E56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7A6E3" w14:textId="77777777" w:rsidR="00F2033E" w:rsidRDefault="00F203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8FA28" w14:textId="359F5710" w:rsidR="00703443" w:rsidRDefault="00F2033E">
    <w:pPr>
      <w:pStyle w:val="Nagwek"/>
    </w:pPr>
    <w:r w:rsidRPr="00944CA5">
      <w:rPr>
        <w:b/>
        <w:bCs/>
        <w:noProof/>
        <w:color w:val="ED0000"/>
      </w:rPr>
      <w:drawing>
        <wp:inline distT="0" distB="0" distL="0" distR="0" wp14:anchorId="3CDBD3D5" wp14:editId="585A761B">
          <wp:extent cx="5760720" cy="526415"/>
          <wp:effectExtent l="0" t="0" r="0" b="6985"/>
          <wp:docPr id="7965255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6CB46" w14:textId="77777777" w:rsidR="00F2033E" w:rsidRDefault="00F203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CB76E99"/>
    <w:multiLevelType w:val="multilevel"/>
    <w:tmpl w:val="6BCC0A3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613C0"/>
    <w:multiLevelType w:val="hybridMultilevel"/>
    <w:tmpl w:val="A448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3213"/>
    <w:multiLevelType w:val="multilevel"/>
    <w:tmpl w:val="A0EE35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DB2797D"/>
    <w:multiLevelType w:val="hybridMultilevel"/>
    <w:tmpl w:val="27347ADE"/>
    <w:lvl w:ilvl="0" w:tplc="09D20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8164E"/>
    <w:multiLevelType w:val="multilevel"/>
    <w:tmpl w:val="5FEC6D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rPr>
        <w:rFonts w:ascii="Times New Roman" w:hAnsi="Times New Roman" w:cs="Times New Roman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D923A9"/>
    <w:multiLevelType w:val="hybridMultilevel"/>
    <w:tmpl w:val="F1527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872B5"/>
    <w:multiLevelType w:val="hybridMultilevel"/>
    <w:tmpl w:val="8780B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D035A"/>
    <w:multiLevelType w:val="hybridMultilevel"/>
    <w:tmpl w:val="9A6814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2E04DE"/>
    <w:multiLevelType w:val="multilevel"/>
    <w:tmpl w:val="5252A9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40A41AFE"/>
    <w:multiLevelType w:val="hybridMultilevel"/>
    <w:tmpl w:val="5A04C4C2"/>
    <w:lvl w:ilvl="0" w:tplc="02CA4E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27E27A1"/>
    <w:multiLevelType w:val="hybridMultilevel"/>
    <w:tmpl w:val="0D107EB4"/>
    <w:lvl w:ilvl="0" w:tplc="4E848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D480F"/>
    <w:multiLevelType w:val="hybridMultilevel"/>
    <w:tmpl w:val="733C6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34891"/>
    <w:multiLevelType w:val="multilevel"/>
    <w:tmpl w:val="5252A9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4AA445C8"/>
    <w:multiLevelType w:val="hybridMultilevel"/>
    <w:tmpl w:val="5ACA58DE"/>
    <w:lvl w:ilvl="0" w:tplc="AF665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6D4B83"/>
    <w:multiLevelType w:val="hybridMultilevel"/>
    <w:tmpl w:val="2FE00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A6E1F"/>
    <w:multiLevelType w:val="multilevel"/>
    <w:tmpl w:val="5A90B3B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156A54"/>
    <w:multiLevelType w:val="multilevel"/>
    <w:tmpl w:val="F2C04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AD68A3"/>
    <w:multiLevelType w:val="hybridMultilevel"/>
    <w:tmpl w:val="A9AE0728"/>
    <w:lvl w:ilvl="0" w:tplc="FAECBCE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F811328"/>
    <w:multiLevelType w:val="hybridMultilevel"/>
    <w:tmpl w:val="99CA8400"/>
    <w:lvl w:ilvl="0" w:tplc="9B36CC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5325AE"/>
    <w:multiLevelType w:val="hybridMultilevel"/>
    <w:tmpl w:val="6D78E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916B0A"/>
    <w:multiLevelType w:val="hybridMultilevel"/>
    <w:tmpl w:val="B23EA9A6"/>
    <w:lvl w:ilvl="0" w:tplc="CBBEA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23F72"/>
    <w:multiLevelType w:val="hybridMultilevel"/>
    <w:tmpl w:val="E6A83B64"/>
    <w:lvl w:ilvl="0" w:tplc="B58C6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5E2D4B"/>
    <w:multiLevelType w:val="multilevel"/>
    <w:tmpl w:val="4558C2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B8E4511"/>
    <w:multiLevelType w:val="hybridMultilevel"/>
    <w:tmpl w:val="A2344750"/>
    <w:lvl w:ilvl="0" w:tplc="3B20A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9D4FEA"/>
    <w:multiLevelType w:val="hybridMultilevel"/>
    <w:tmpl w:val="ADBA4B1A"/>
    <w:lvl w:ilvl="0" w:tplc="981848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5A0657"/>
    <w:multiLevelType w:val="multilevel"/>
    <w:tmpl w:val="C204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1049442">
    <w:abstractNumId w:val="0"/>
  </w:num>
  <w:num w:numId="2" w16cid:durableId="2128355843">
    <w:abstractNumId w:val="23"/>
  </w:num>
  <w:num w:numId="3" w16cid:durableId="180977070">
    <w:abstractNumId w:val="3"/>
  </w:num>
  <w:num w:numId="4" w16cid:durableId="1384674855">
    <w:abstractNumId w:val="13"/>
  </w:num>
  <w:num w:numId="5" w16cid:durableId="552426797">
    <w:abstractNumId w:val="9"/>
  </w:num>
  <w:num w:numId="6" w16cid:durableId="609778978">
    <w:abstractNumId w:val="2"/>
  </w:num>
  <w:num w:numId="7" w16cid:durableId="560290882">
    <w:abstractNumId w:val="17"/>
  </w:num>
  <w:num w:numId="8" w16cid:durableId="10506143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6748296">
    <w:abstractNumId w:val="5"/>
  </w:num>
  <w:num w:numId="10" w16cid:durableId="169024155">
    <w:abstractNumId w:val="22"/>
  </w:num>
  <w:num w:numId="11" w16cid:durableId="205066361">
    <w:abstractNumId w:val="18"/>
  </w:num>
  <w:num w:numId="12" w16cid:durableId="970939985">
    <w:abstractNumId w:val="10"/>
  </w:num>
  <w:num w:numId="13" w16cid:durableId="275645142">
    <w:abstractNumId w:val="8"/>
  </w:num>
  <w:num w:numId="14" w16cid:durableId="582881242">
    <w:abstractNumId w:val="26"/>
  </w:num>
  <w:num w:numId="15" w16cid:durableId="1782718825">
    <w:abstractNumId w:val="24"/>
  </w:num>
  <w:num w:numId="16" w16cid:durableId="2066832421">
    <w:abstractNumId w:val="25"/>
  </w:num>
  <w:num w:numId="17" w16cid:durableId="778334341">
    <w:abstractNumId w:val="6"/>
  </w:num>
  <w:num w:numId="18" w16cid:durableId="1543054296">
    <w:abstractNumId w:val="12"/>
  </w:num>
  <w:num w:numId="19" w16cid:durableId="1487629077">
    <w:abstractNumId w:val="7"/>
  </w:num>
  <w:num w:numId="20" w16cid:durableId="553081990">
    <w:abstractNumId w:val="11"/>
  </w:num>
  <w:num w:numId="21" w16cid:durableId="359165570">
    <w:abstractNumId w:val="21"/>
  </w:num>
  <w:num w:numId="22" w16cid:durableId="768961925">
    <w:abstractNumId w:val="14"/>
  </w:num>
  <w:num w:numId="23" w16cid:durableId="690912352">
    <w:abstractNumId w:val="16"/>
  </w:num>
  <w:num w:numId="24" w16cid:durableId="786896322">
    <w:abstractNumId w:val="19"/>
  </w:num>
  <w:num w:numId="25" w16cid:durableId="375545743">
    <w:abstractNumId w:val="1"/>
  </w:num>
  <w:num w:numId="26" w16cid:durableId="1722628449">
    <w:abstractNumId w:val="20"/>
  </w:num>
  <w:num w:numId="27" w16cid:durableId="3771651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7D8"/>
    <w:rsid w:val="00022AE1"/>
    <w:rsid w:val="000257DF"/>
    <w:rsid w:val="00040A1A"/>
    <w:rsid w:val="00040A84"/>
    <w:rsid w:val="00045826"/>
    <w:rsid w:val="0006529D"/>
    <w:rsid w:val="000714E9"/>
    <w:rsid w:val="00084B3C"/>
    <w:rsid w:val="00086026"/>
    <w:rsid w:val="000C3775"/>
    <w:rsid w:val="000D1BD1"/>
    <w:rsid w:val="000D7BB8"/>
    <w:rsid w:val="000E5F27"/>
    <w:rsid w:val="000F61B1"/>
    <w:rsid w:val="001008A3"/>
    <w:rsid w:val="00126AFA"/>
    <w:rsid w:val="00133BA4"/>
    <w:rsid w:val="00136488"/>
    <w:rsid w:val="00157180"/>
    <w:rsid w:val="00161013"/>
    <w:rsid w:val="00171A02"/>
    <w:rsid w:val="00176F31"/>
    <w:rsid w:val="0018397B"/>
    <w:rsid w:val="001C03AE"/>
    <w:rsid w:val="001C3BCA"/>
    <w:rsid w:val="001E00C2"/>
    <w:rsid w:val="001E381B"/>
    <w:rsid w:val="001F1BC9"/>
    <w:rsid w:val="00201EA2"/>
    <w:rsid w:val="002129A9"/>
    <w:rsid w:val="00215234"/>
    <w:rsid w:val="00232365"/>
    <w:rsid w:val="00244A58"/>
    <w:rsid w:val="002471DC"/>
    <w:rsid w:val="00256B1F"/>
    <w:rsid w:val="00257DE2"/>
    <w:rsid w:val="00260088"/>
    <w:rsid w:val="00262429"/>
    <w:rsid w:val="002834CB"/>
    <w:rsid w:val="002A0031"/>
    <w:rsid w:val="002A2947"/>
    <w:rsid w:val="002A435A"/>
    <w:rsid w:val="002A538C"/>
    <w:rsid w:val="002B1721"/>
    <w:rsid w:val="002B2DED"/>
    <w:rsid w:val="002B4B98"/>
    <w:rsid w:val="002C7387"/>
    <w:rsid w:val="002E26D5"/>
    <w:rsid w:val="002E31B5"/>
    <w:rsid w:val="002F3253"/>
    <w:rsid w:val="002F666B"/>
    <w:rsid w:val="003162D4"/>
    <w:rsid w:val="0031749E"/>
    <w:rsid w:val="00346C9D"/>
    <w:rsid w:val="00352620"/>
    <w:rsid w:val="00356F38"/>
    <w:rsid w:val="003658AA"/>
    <w:rsid w:val="00374E08"/>
    <w:rsid w:val="003805E2"/>
    <w:rsid w:val="00380986"/>
    <w:rsid w:val="003932A7"/>
    <w:rsid w:val="003A1BF0"/>
    <w:rsid w:val="003A21C8"/>
    <w:rsid w:val="003A5345"/>
    <w:rsid w:val="003B0A89"/>
    <w:rsid w:val="003E1A97"/>
    <w:rsid w:val="003E1EA1"/>
    <w:rsid w:val="003E5879"/>
    <w:rsid w:val="004117D8"/>
    <w:rsid w:val="00412B6A"/>
    <w:rsid w:val="004262C5"/>
    <w:rsid w:val="00427ABC"/>
    <w:rsid w:val="00432A91"/>
    <w:rsid w:val="00433A93"/>
    <w:rsid w:val="00442815"/>
    <w:rsid w:val="0045336E"/>
    <w:rsid w:val="00453DD0"/>
    <w:rsid w:val="00455C87"/>
    <w:rsid w:val="004759AE"/>
    <w:rsid w:val="00476792"/>
    <w:rsid w:val="004855C7"/>
    <w:rsid w:val="004874F5"/>
    <w:rsid w:val="004945B9"/>
    <w:rsid w:val="00494CF0"/>
    <w:rsid w:val="00497557"/>
    <w:rsid w:val="004C6FAA"/>
    <w:rsid w:val="004E1133"/>
    <w:rsid w:val="004F3440"/>
    <w:rsid w:val="004F42F4"/>
    <w:rsid w:val="00500BC8"/>
    <w:rsid w:val="00502226"/>
    <w:rsid w:val="0051004B"/>
    <w:rsid w:val="00512E50"/>
    <w:rsid w:val="00527DA8"/>
    <w:rsid w:val="00541FE1"/>
    <w:rsid w:val="00542B2A"/>
    <w:rsid w:val="00544ED8"/>
    <w:rsid w:val="00550667"/>
    <w:rsid w:val="00563264"/>
    <w:rsid w:val="0056445E"/>
    <w:rsid w:val="00571E6E"/>
    <w:rsid w:val="005744C1"/>
    <w:rsid w:val="005830EE"/>
    <w:rsid w:val="00592C4B"/>
    <w:rsid w:val="005A3746"/>
    <w:rsid w:val="005B40FB"/>
    <w:rsid w:val="005E3834"/>
    <w:rsid w:val="00633478"/>
    <w:rsid w:val="006341EE"/>
    <w:rsid w:val="00646AA5"/>
    <w:rsid w:val="0065682A"/>
    <w:rsid w:val="006746CE"/>
    <w:rsid w:val="006935D8"/>
    <w:rsid w:val="00694FE6"/>
    <w:rsid w:val="006A235B"/>
    <w:rsid w:val="006A6640"/>
    <w:rsid w:val="006B4DF6"/>
    <w:rsid w:val="006E4B49"/>
    <w:rsid w:val="006F1068"/>
    <w:rsid w:val="006F398D"/>
    <w:rsid w:val="006F3E8A"/>
    <w:rsid w:val="00703443"/>
    <w:rsid w:val="0072158D"/>
    <w:rsid w:val="00737093"/>
    <w:rsid w:val="007427AA"/>
    <w:rsid w:val="00747D30"/>
    <w:rsid w:val="00750FEC"/>
    <w:rsid w:val="00751E0B"/>
    <w:rsid w:val="00775454"/>
    <w:rsid w:val="00792681"/>
    <w:rsid w:val="007A29A7"/>
    <w:rsid w:val="007B2EA0"/>
    <w:rsid w:val="007B738E"/>
    <w:rsid w:val="007C17A9"/>
    <w:rsid w:val="007C37B3"/>
    <w:rsid w:val="007D73FC"/>
    <w:rsid w:val="007F3DB1"/>
    <w:rsid w:val="008063DC"/>
    <w:rsid w:val="00816A62"/>
    <w:rsid w:val="0082487D"/>
    <w:rsid w:val="00841AD6"/>
    <w:rsid w:val="00856FB3"/>
    <w:rsid w:val="00863466"/>
    <w:rsid w:val="00876F3D"/>
    <w:rsid w:val="00881FE2"/>
    <w:rsid w:val="008916F0"/>
    <w:rsid w:val="00891D6F"/>
    <w:rsid w:val="00895DB7"/>
    <w:rsid w:val="008B645F"/>
    <w:rsid w:val="008D3A17"/>
    <w:rsid w:val="008E148D"/>
    <w:rsid w:val="008E1F3C"/>
    <w:rsid w:val="008F1521"/>
    <w:rsid w:val="008F6CEF"/>
    <w:rsid w:val="009005A2"/>
    <w:rsid w:val="009075F9"/>
    <w:rsid w:val="009276B1"/>
    <w:rsid w:val="00931548"/>
    <w:rsid w:val="00932462"/>
    <w:rsid w:val="00935DA8"/>
    <w:rsid w:val="009456FB"/>
    <w:rsid w:val="00953F1D"/>
    <w:rsid w:val="00955DDA"/>
    <w:rsid w:val="009701E2"/>
    <w:rsid w:val="0097063C"/>
    <w:rsid w:val="00972762"/>
    <w:rsid w:val="0097283D"/>
    <w:rsid w:val="009766C7"/>
    <w:rsid w:val="00990282"/>
    <w:rsid w:val="00990616"/>
    <w:rsid w:val="009A4321"/>
    <w:rsid w:val="009A4FBD"/>
    <w:rsid w:val="009B67B0"/>
    <w:rsid w:val="009B74F9"/>
    <w:rsid w:val="009D0DC8"/>
    <w:rsid w:val="009D3CC7"/>
    <w:rsid w:val="009E286B"/>
    <w:rsid w:val="009E559A"/>
    <w:rsid w:val="009E60F1"/>
    <w:rsid w:val="009F1D92"/>
    <w:rsid w:val="009F7D45"/>
    <w:rsid w:val="00A20BFD"/>
    <w:rsid w:val="00A334B4"/>
    <w:rsid w:val="00A4420B"/>
    <w:rsid w:val="00A5089A"/>
    <w:rsid w:val="00A50A9C"/>
    <w:rsid w:val="00A61726"/>
    <w:rsid w:val="00A75354"/>
    <w:rsid w:val="00A838C5"/>
    <w:rsid w:val="00A94BF9"/>
    <w:rsid w:val="00AC23BF"/>
    <w:rsid w:val="00AE024F"/>
    <w:rsid w:val="00AE1AC4"/>
    <w:rsid w:val="00AE35B3"/>
    <w:rsid w:val="00AE7647"/>
    <w:rsid w:val="00B23E0F"/>
    <w:rsid w:val="00B71FC0"/>
    <w:rsid w:val="00B95D61"/>
    <w:rsid w:val="00B97804"/>
    <w:rsid w:val="00BA17FD"/>
    <w:rsid w:val="00BB12AD"/>
    <w:rsid w:val="00BD0252"/>
    <w:rsid w:val="00BD0E10"/>
    <w:rsid w:val="00BE317C"/>
    <w:rsid w:val="00BE5ADA"/>
    <w:rsid w:val="00BF2095"/>
    <w:rsid w:val="00BF6931"/>
    <w:rsid w:val="00C00B23"/>
    <w:rsid w:val="00C54CFE"/>
    <w:rsid w:val="00C648BD"/>
    <w:rsid w:val="00C70292"/>
    <w:rsid w:val="00C84B47"/>
    <w:rsid w:val="00C924BF"/>
    <w:rsid w:val="00CA253B"/>
    <w:rsid w:val="00CB7C69"/>
    <w:rsid w:val="00CC4FF8"/>
    <w:rsid w:val="00CC7848"/>
    <w:rsid w:val="00CD798E"/>
    <w:rsid w:val="00CF3687"/>
    <w:rsid w:val="00D31910"/>
    <w:rsid w:val="00D33D7B"/>
    <w:rsid w:val="00D36713"/>
    <w:rsid w:val="00D549A7"/>
    <w:rsid w:val="00D57A76"/>
    <w:rsid w:val="00D57B2F"/>
    <w:rsid w:val="00D60C11"/>
    <w:rsid w:val="00D67342"/>
    <w:rsid w:val="00D71809"/>
    <w:rsid w:val="00D71F90"/>
    <w:rsid w:val="00D75935"/>
    <w:rsid w:val="00DA5A46"/>
    <w:rsid w:val="00DB0F8C"/>
    <w:rsid w:val="00DC6F62"/>
    <w:rsid w:val="00DE27C6"/>
    <w:rsid w:val="00DE32F7"/>
    <w:rsid w:val="00DF73B0"/>
    <w:rsid w:val="00DF7820"/>
    <w:rsid w:val="00E173A0"/>
    <w:rsid w:val="00E35F9C"/>
    <w:rsid w:val="00E56E24"/>
    <w:rsid w:val="00E6222A"/>
    <w:rsid w:val="00E746EC"/>
    <w:rsid w:val="00E800BF"/>
    <w:rsid w:val="00E80934"/>
    <w:rsid w:val="00E832D4"/>
    <w:rsid w:val="00E94FD2"/>
    <w:rsid w:val="00E95135"/>
    <w:rsid w:val="00E95C7C"/>
    <w:rsid w:val="00EA7B70"/>
    <w:rsid w:val="00EC204A"/>
    <w:rsid w:val="00EC4C7F"/>
    <w:rsid w:val="00EE76CF"/>
    <w:rsid w:val="00EF4574"/>
    <w:rsid w:val="00EF5235"/>
    <w:rsid w:val="00EF6763"/>
    <w:rsid w:val="00F2033E"/>
    <w:rsid w:val="00F214F5"/>
    <w:rsid w:val="00F22132"/>
    <w:rsid w:val="00F30F79"/>
    <w:rsid w:val="00F312C2"/>
    <w:rsid w:val="00F4000F"/>
    <w:rsid w:val="00F42DEE"/>
    <w:rsid w:val="00F478B7"/>
    <w:rsid w:val="00F50C04"/>
    <w:rsid w:val="00F62918"/>
    <w:rsid w:val="00F75721"/>
    <w:rsid w:val="00F93680"/>
    <w:rsid w:val="00FB0742"/>
    <w:rsid w:val="00FB4C20"/>
    <w:rsid w:val="00FB4E43"/>
    <w:rsid w:val="00FC6907"/>
    <w:rsid w:val="00FD0B91"/>
    <w:rsid w:val="00FD10CC"/>
    <w:rsid w:val="00FE2B87"/>
    <w:rsid w:val="00FE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90900"/>
  <w15:chartTrackingRefBased/>
  <w15:docId w15:val="{150C0229-CD53-4BC7-839D-41B141AB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6E2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gwek1">
    <w:name w:val="heading 1"/>
    <w:aliases w:val="Skyrius,Outline 1"/>
    <w:basedOn w:val="Normalny"/>
    <w:next w:val="Normalny"/>
    <w:link w:val="Nagwek1Znak"/>
    <w:qFormat/>
    <w:rsid w:val="004117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aliases w:val="Heading 2 Char2,Heading 2 Char1 Char,Heading 2 Char Char Char,Heading 2 Char Char,Poskyris,Outline 2"/>
    <w:basedOn w:val="Normalny"/>
    <w:next w:val="Normalny"/>
    <w:link w:val="Nagwek2Znak"/>
    <w:unhideWhenUsed/>
    <w:qFormat/>
    <w:rsid w:val="004117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aliases w:val="Heading 3 Char1 Char,Heading 3 Char Char Char,Heading 3 Char2,Heading 3 Char1 Char Char Char,Heading 3 Char Char Char Char Char,Heading 3 Char1 Char Char Char Char Char,Heading 3 Char Char Char Char Char Char Char,Skyrelis"/>
    <w:basedOn w:val="Normalny"/>
    <w:next w:val="Normalny"/>
    <w:link w:val="Nagwek3Znak"/>
    <w:unhideWhenUsed/>
    <w:qFormat/>
    <w:rsid w:val="004117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aliases w:val="Papunktis"/>
    <w:basedOn w:val="Normalny"/>
    <w:next w:val="Normalny"/>
    <w:link w:val="Nagwek4Znak"/>
    <w:unhideWhenUsed/>
    <w:qFormat/>
    <w:rsid w:val="004117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4117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4117D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4117D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4117D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4117D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Skyrius Znak,Outline 1 Znak"/>
    <w:basedOn w:val="Domylnaczcionkaakapitu"/>
    <w:link w:val="Nagwek1"/>
    <w:uiPriority w:val="9"/>
    <w:rsid w:val="004117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aliases w:val="Heading 2 Char2 Znak,Heading 2 Char1 Char Znak,Heading 2 Char Char Char Znak,Heading 2 Char Char Znak,Poskyris Znak,Outline 2 Znak"/>
    <w:basedOn w:val="Domylnaczcionkaakapitu"/>
    <w:link w:val="Nagwek2"/>
    <w:rsid w:val="004117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aliases w:val="Heading 3 Char1 Char Znak,Heading 3 Char Char Char Znak,Heading 3 Char2 Znak,Heading 3 Char1 Char Char Char Znak,Heading 3 Char Char Char Char Char Znak,Heading 3 Char1 Char Char Char Char Char Znak,Skyrelis Znak"/>
    <w:basedOn w:val="Domylnaczcionkaakapitu"/>
    <w:link w:val="Nagwek3"/>
    <w:uiPriority w:val="9"/>
    <w:semiHidden/>
    <w:rsid w:val="004117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aliases w:val="Papunktis Znak"/>
    <w:basedOn w:val="Domylnaczcionkaakapitu"/>
    <w:link w:val="Nagwek4"/>
    <w:rsid w:val="004117D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17D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17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17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17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17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17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7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17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17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17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17D8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117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17D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17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17D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17D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56E24"/>
    <w:pPr>
      <w:tabs>
        <w:tab w:val="center" w:pos="4986"/>
        <w:tab w:val="right" w:pos="99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6E24"/>
  </w:style>
  <w:style w:type="paragraph" w:styleId="Stopka">
    <w:name w:val="footer"/>
    <w:basedOn w:val="Normalny"/>
    <w:link w:val="StopkaZnak"/>
    <w:unhideWhenUsed/>
    <w:rsid w:val="00E56E24"/>
    <w:pPr>
      <w:tabs>
        <w:tab w:val="center" w:pos="4986"/>
        <w:tab w:val="right" w:pos="9972"/>
      </w:tabs>
    </w:pPr>
  </w:style>
  <w:style w:type="character" w:customStyle="1" w:styleId="StopkaZnak">
    <w:name w:val="Stopka Znak"/>
    <w:basedOn w:val="Domylnaczcionkaakapitu"/>
    <w:link w:val="Stopka"/>
    <w:rsid w:val="00E56E24"/>
  </w:style>
  <w:style w:type="character" w:styleId="Numerstrony">
    <w:name w:val="page number"/>
    <w:basedOn w:val="Domylnaczcionkaakapitu"/>
    <w:rsid w:val="00E56E24"/>
  </w:style>
  <w:style w:type="paragraph" w:styleId="Zwykytekst">
    <w:name w:val="Plain Text"/>
    <w:basedOn w:val="Normalny"/>
    <w:link w:val="ZwykytekstZnak"/>
    <w:uiPriority w:val="99"/>
    <w:rsid w:val="0097063C"/>
    <w:pPr>
      <w:jc w:val="both"/>
    </w:pPr>
    <w:rPr>
      <w:rFonts w:ascii="Arial" w:hAnsi="Arial"/>
      <w:snapToGrid w:val="0"/>
      <w:sz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7063C"/>
    <w:rPr>
      <w:rFonts w:ascii="Arial" w:eastAsia="Times New Roman" w:hAnsi="Arial" w:cs="Times New Roman"/>
      <w:snapToGrid w:val="0"/>
      <w:kern w:val="0"/>
      <w:sz w:val="22"/>
      <w:szCs w:val="20"/>
      <w:lang w:val="pl-PL"/>
      <w14:ligatures w14:val="none"/>
    </w:rPr>
  </w:style>
  <w:style w:type="paragraph" w:styleId="Tekstkomentarza">
    <w:name w:val="annotation text"/>
    <w:basedOn w:val="Normalny"/>
    <w:link w:val="TekstkomentarzaZnak"/>
    <w:rsid w:val="0097063C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97063C"/>
    <w:rPr>
      <w:rFonts w:ascii="Arial" w:eastAsia="Times New Roman" w:hAnsi="Arial" w:cs="Times New Roman"/>
      <w:kern w:val="0"/>
      <w:sz w:val="22"/>
      <w:szCs w:val="20"/>
      <w:lang w:val="pl-PL"/>
      <w14:ligatures w14:val="none"/>
    </w:rPr>
  </w:style>
  <w:style w:type="character" w:styleId="Odwoaniedokomentarza">
    <w:name w:val="annotation reference"/>
    <w:basedOn w:val="Domylnaczcionkaakapitu"/>
    <w:rsid w:val="0097063C"/>
    <w:rPr>
      <w:sz w:val="16"/>
      <w:szCs w:val="16"/>
    </w:rPr>
  </w:style>
  <w:style w:type="paragraph" w:customStyle="1" w:styleId="BodyText1">
    <w:name w:val="Body Text 1."/>
    <w:basedOn w:val="Tekstpodstawowy"/>
    <w:link w:val="BodyText1Char"/>
    <w:rsid w:val="0097063C"/>
    <w:pPr>
      <w:tabs>
        <w:tab w:val="left" w:pos="0"/>
      </w:tabs>
      <w:spacing w:before="60"/>
      <w:ind w:left="567"/>
      <w:outlineLvl w:val="0"/>
    </w:pPr>
    <w:rPr>
      <w:rFonts w:ascii="Arial" w:hAnsi="Arial"/>
      <w:sz w:val="22"/>
      <w:lang w:eastAsia="en-US"/>
    </w:rPr>
  </w:style>
  <w:style w:type="character" w:customStyle="1" w:styleId="BodyText1Char">
    <w:name w:val="Body Text 1. Char"/>
    <w:link w:val="BodyText1"/>
    <w:rsid w:val="0097063C"/>
    <w:rPr>
      <w:rFonts w:ascii="Arial" w:eastAsia="Times New Roman" w:hAnsi="Arial" w:cs="Times New Roman"/>
      <w:kern w:val="0"/>
      <w:sz w:val="22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06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063C"/>
    <w:rPr>
      <w:rFonts w:ascii="Times New Roman" w:eastAsia="Times New Roman" w:hAnsi="Times New Roman" w:cs="Times New Roman"/>
      <w:kern w:val="0"/>
      <w:sz w:val="20"/>
      <w:szCs w:val="20"/>
      <w:lang w:val="pl-PL" w:eastAsia="cs-CZ"/>
      <w14:ligatures w14:val="none"/>
    </w:rPr>
  </w:style>
  <w:style w:type="paragraph" w:customStyle="1" w:styleId="TPINormal">
    <w:name w:val="TPINormal"/>
    <w:basedOn w:val="Normalny"/>
    <w:rsid w:val="0097063C"/>
    <w:pPr>
      <w:suppressAutoHyphens/>
      <w:spacing w:after="60"/>
      <w:jc w:val="both"/>
    </w:pPr>
    <w:rPr>
      <w:rFonts w:ascii="Arial" w:hAnsi="Arial"/>
      <w:sz w:val="22"/>
      <w:lang w:eastAsia="ar-SA"/>
    </w:rPr>
  </w:style>
  <w:style w:type="paragraph" w:styleId="Tekstpodstawowy3">
    <w:name w:val="Body Text 3"/>
    <w:basedOn w:val="Normalny"/>
    <w:link w:val="Tekstpodstawowy3Znak"/>
    <w:rsid w:val="009456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456FB"/>
    <w:rPr>
      <w:rFonts w:ascii="Times New Roman" w:eastAsia="Times New Roman" w:hAnsi="Times New Roman" w:cs="Times New Roman"/>
      <w:kern w:val="0"/>
      <w:sz w:val="16"/>
      <w:szCs w:val="16"/>
      <w:lang w:val="pl-PL" w:eastAsia="cs-CZ"/>
      <w14:ligatures w14:val="none"/>
    </w:rPr>
  </w:style>
  <w:style w:type="table" w:styleId="Tabela-Siatka">
    <w:name w:val="Table Grid"/>
    <w:basedOn w:val="Standardowy"/>
    <w:rsid w:val="009456F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56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lang w:eastAsia="lt-LT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0BC8"/>
    <w:pPr>
      <w:spacing w:before="240" w:after="0" w:line="259" w:lineRule="auto"/>
      <w:outlineLvl w:val="9"/>
    </w:pPr>
    <w:rPr>
      <w:sz w:val="32"/>
      <w:szCs w:val="3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500BC8"/>
    <w:pPr>
      <w:spacing w:after="100"/>
      <w:ind w:left="200"/>
    </w:pPr>
  </w:style>
  <w:style w:type="paragraph" w:styleId="Spistreci1">
    <w:name w:val="toc 1"/>
    <w:basedOn w:val="Normalny"/>
    <w:next w:val="Normalny"/>
    <w:autoRedefine/>
    <w:uiPriority w:val="39"/>
    <w:unhideWhenUsed/>
    <w:rsid w:val="00500BC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00BC8"/>
    <w:rPr>
      <w:color w:val="467886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BC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  <w:sz w:val="20"/>
      <w:lang w:eastAsia="cs-CZ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BC8"/>
    <w:rPr>
      <w:rFonts w:ascii="Times New Roman" w:eastAsia="Times New Roman" w:hAnsi="Times New Roman" w:cs="Times New Roman"/>
      <w:b/>
      <w:bCs/>
      <w:kern w:val="0"/>
      <w:sz w:val="20"/>
      <w:szCs w:val="20"/>
      <w:lang w:val="pl-PL" w:eastAsia="cs-CZ"/>
      <w14:ligatures w14:val="none"/>
    </w:rPr>
  </w:style>
  <w:style w:type="paragraph" w:styleId="NormalnyWeb">
    <w:name w:val="Normal (Web)"/>
    <w:basedOn w:val="Normalny"/>
    <w:uiPriority w:val="99"/>
    <w:unhideWhenUsed/>
    <w:rsid w:val="006B4DF6"/>
    <w:rPr>
      <w:sz w:val="24"/>
      <w:szCs w:val="24"/>
    </w:rPr>
  </w:style>
  <w:style w:type="paragraph" w:customStyle="1" w:styleId="TEXT">
    <w:name w:val="TEXT"/>
    <w:basedOn w:val="Normalny"/>
    <w:qFormat/>
    <w:rsid w:val="00D71F90"/>
    <w:pPr>
      <w:spacing w:before="60" w:after="60"/>
      <w:ind w:left="-284" w:right="-613"/>
      <w:jc w:val="both"/>
      <w:outlineLvl w:val="0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TableText">
    <w:name w:val="Table Text"/>
    <w:basedOn w:val="TEXT"/>
    <w:qFormat/>
    <w:rsid w:val="00D71F90"/>
    <w:pPr>
      <w:ind w:left="0" w:right="0"/>
    </w:pPr>
    <w:rPr>
      <w:bCs/>
    </w:rPr>
  </w:style>
  <w:style w:type="paragraph" w:customStyle="1" w:styleId="BULLETSzatablicu">
    <w:name w:val="BULLETS za tablicu"/>
    <w:basedOn w:val="Akapitzlist"/>
    <w:qFormat/>
    <w:rsid w:val="00D71F90"/>
    <w:pPr>
      <w:spacing w:before="60" w:after="120"/>
      <w:ind w:left="426" w:hanging="284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50667"/>
    <w:rPr>
      <w:b/>
      <w:bCs/>
    </w:rPr>
  </w:style>
  <w:style w:type="character" w:customStyle="1" w:styleId="AkapitzlistZnak">
    <w:name w:val="Akapit z listą Znak"/>
    <w:link w:val="Akapitzlist"/>
    <w:uiPriority w:val="34"/>
    <w:rsid w:val="00DF7820"/>
    <w:rPr>
      <w:rFonts w:ascii="Times New Roman" w:eastAsia="Times New Roman" w:hAnsi="Times New Roman" w:cs="Times New Roman"/>
      <w:kern w:val="0"/>
      <w:sz w:val="20"/>
      <w:szCs w:val="20"/>
      <w:lang w:val="pl-PL" w:eastAsia="cs-CZ"/>
      <w14:ligatures w14:val="none"/>
    </w:rPr>
  </w:style>
  <w:style w:type="character" w:customStyle="1" w:styleId="alt-edited">
    <w:name w:val="alt-edited"/>
    <w:basedOn w:val="Domylnaczcionkaakapitu"/>
    <w:rsid w:val="00086026"/>
  </w:style>
  <w:style w:type="character" w:customStyle="1" w:styleId="UCharacterstring">
    <w:name w:val="U Character string"/>
    <w:aliases w:val="underlined"/>
    <w:uiPriority w:val="99"/>
    <w:rsid w:val="003E5879"/>
    <w:rPr>
      <w:u w:val="single"/>
    </w:rPr>
  </w:style>
  <w:style w:type="paragraph" w:customStyle="1" w:styleId="p1">
    <w:name w:val="p1"/>
    <w:basedOn w:val="Normalny"/>
    <w:rsid w:val="00BB12AD"/>
    <w:rPr>
      <w:rFonts w:ascii="Arial" w:hAnsi="Arial" w:cs="Arial"/>
      <w:color w:val="747474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rLinkFileType xmlns="7eb39c54-9b08-4660-9e45-d2478bb6122f" xsi:nil="true"/>
    <lcf76f155ced4ddcb4097134ff3c332f xmlns="7eb39c54-9b08-4660-9e45-d2478bb6122f">
      <Terms xmlns="http://schemas.microsoft.com/office/infopath/2007/PartnerControls"/>
    </lcf76f155ced4ddcb4097134ff3c332f>
    <TaxCatchAll xmlns="fee13b9e-bcf8-48aa-88dc-8878ac5fd75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5F1B90A82D449BF71D5AFD6C7EB61" ma:contentTypeVersion="12" ma:contentTypeDescription="Utwórz nowy dokument." ma:contentTypeScope="" ma:versionID="99d4517afb625d27c6a8d4e396bfbff8">
  <xsd:schema xmlns:xsd="http://www.w3.org/2001/XMLSchema" xmlns:xs="http://www.w3.org/2001/XMLSchema" xmlns:p="http://schemas.microsoft.com/office/2006/metadata/properties" xmlns:ns2="7eb39c54-9b08-4660-9e45-d2478bb6122f" xmlns:ns3="fee13b9e-bcf8-48aa-88dc-8878ac5fd757" targetNamespace="http://schemas.microsoft.com/office/2006/metadata/properties" ma:root="true" ma:fieldsID="05c43d831ff9b584ac2b643582161e4d" ns2:_="" ns3:_="">
    <xsd:import namespace="7eb39c54-9b08-4660-9e45-d2478bb6122f"/>
    <xsd:import namespace="fee13b9e-bcf8-48aa-88dc-8878ac5fd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9c54-9b08-4660-9e45-d2478bb61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rchiverLinkFileType" ma:index="19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13b9e-bcf8-48aa-88dc-8878ac5fd75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a668a5a-34d3-4a6d-9723-b73a92c72591}" ma:internalName="TaxCatchAll" ma:showField="CatchAllData" ma:web="fee13b9e-bcf8-48aa-88dc-8878ac5fd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66584-A651-46EB-962A-99D5558DFD20}">
  <ds:schemaRefs>
    <ds:schemaRef ds:uri="http://schemas.microsoft.com/office/2006/metadata/properties"/>
    <ds:schemaRef ds:uri="http://schemas.microsoft.com/office/infopath/2007/PartnerControls"/>
    <ds:schemaRef ds:uri="7eb39c54-9b08-4660-9e45-d2478bb6122f"/>
    <ds:schemaRef ds:uri="fee13b9e-bcf8-48aa-88dc-8878ac5fd757"/>
  </ds:schemaRefs>
</ds:datastoreItem>
</file>

<file path=customXml/itemProps2.xml><?xml version="1.0" encoding="utf-8"?>
<ds:datastoreItem xmlns:ds="http://schemas.openxmlformats.org/officeDocument/2006/customXml" ds:itemID="{BA99093A-E7AF-4DE4-8931-63B59B4800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F72655-4414-4794-BFBF-0BE15EAAE1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39c54-9b08-4660-9e45-d2478bb6122f"/>
    <ds:schemaRef ds:uri="fee13b9e-bcf8-48aa-88dc-8878ac5fd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39F4D8-0F2F-48D1-B435-10CA86626E1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4528</Words>
  <Characters>27170</Characters>
  <Application>Microsoft Office Word</Application>
  <DocSecurity>0</DocSecurity>
  <Lines>226</Lines>
  <Paragraphs>63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Gabija Grudzinskaitė</dc:creator>
  <cp:keywords/>
  <dc:description/>
  <cp:lastModifiedBy>Filip Demby</cp:lastModifiedBy>
  <cp:revision>9</cp:revision>
  <dcterms:created xsi:type="dcterms:W3CDTF">2025-11-17T15:23:00Z</dcterms:created>
  <dcterms:modified xsi:type="dcterms:W3CDTF">2025-11-27T14:35:00Z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0x0101006195F1B90A82D449BF71D5AFD6C7EB61</vt:lpwstr>
  </property>
  <property fmtid="{D5CDD505-2E9C-101B-9397-08002B2CF9AE}" pid="3" name="MediaServiceImageTags">
    <vt:lpwstr/>
  </property>
</Properties>
</file>